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CDD" w:rsidRPr="00042CDD" w:rsidRDefault="00042CDD" w:rsidP="00042CDD">
      <w:pPr>
        <w:jc w:val="center"/>
        <w:rPr>
          <w:rFonts w:ascii="Arial Narrow" w:hAnsi="Arial Narrow"/>
        </w:rPr>
      </w:pPr>
    </w:p>
    <w:p w:rsidR="00042CDD" w:rsidRPr="00042CDD" w:rsidRDefault="00042CDD" w:rsidP="00042CDD">
      <w:pPr>
        <w:jc w:val="center"/>
        <w:rPr>
          <w:rFonts w:ascii="Arial Narrow" w:hAnsi="Arial Narrow"/>
        </w:rPr>
      </w:pPr>
    </w:p>
    <w:p w:rsidR="00042CDD" w:rsidRPr="00042CDD" w:rsidRDefault="00042CDD" w:rsidP="00042CDD">
      <w:pPr>
        <w:jc w:val="center"/>
        <w:rPr>
          <w:rFonts w:ascii="Arial Narrow" w:hAnsi="Arial Narrow"/>
        </w:rPr>
      </w:pPr>
    </w:p>
    <w:p w:rsidR="00042CDD" w:rsidRPr="00042CDD" w:rsidRDefault="00042CDD" w:rsidP="00042CDD">
      <w:pPr>
        <w:jc w:val="center"/>
        <w:rPr>
          <w:rFonts w:ascii="Arial Narrow" w:hAnsi="Arial Narrow"/>
        </w:rPr>
      </w:pPr>
    </w:p>
    <w:p w:rsidR="00042CDD" w:rsidRPr="00042CDD" w:rsidRDefault="00042CDD" w:rsidP="00042CDD">
      <w:pPr>
        <w:jc w:val="center"/>
        <w:rPr>
          <w:rFonts w:ascii="Arial Narrow" w:hAnsi="Arial Narrow"/>
        </w:rPr>
      </w:pPr>
    </w:p>
    <w:p w:rsidR="001A2859" w:rsidRPr="00042CDD" w:rsidRDefault="00042CDD" w:rsidP="00042CDD">
      <w:pPr>
        <w:jc w:val="center"/>
        <w:rPr>
          <w:rFonts w:ascii="Arial Narrow" w:hAnsi="Arial Narrow"/>
        </w:rPr>
      </w:pPr>
      <w:r w:rsidRPr="00042CDD">
        <w:rPr>
          <w:rFonts w:ascii="Arial Narrow" w:hAnsi="Arial Narrow"/>
          <w:b/>
          <w:noProof/>
          <w:sz w:val="24"/>
          <w:szCs w:val="24"/>
          <w:lang w:eastAsia="it-IT"/>
        </w:rPr>
        <w:drawing>
          <wp:inline distT="0" distB="0" distL="0" distR="0" wp14:anchorId="33A3204E" wp14:editId="141B2E99">
            <wp:extent cx="4833697" cy="2050177"/>
            <wp:effectExtent l="0" t="0" r="5080" b="7620"/>
            <wp:docPr id="1" name="Immagine 1" descr="C:\Users\cristin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na\Desktop\downloa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4041" cy="2058806"/>
                    </a:xfrm>
                    <a:prstGeom prst="rect">
                      <a:avLst/>
                    </a:prstGeom>
                    <a:noFill/>
                    <a:ln>
                      <a:noFill/>
                    </a:ln>
                  </pic:spPr>
                </pic:pic>
              </a:graphicData>
            </a:graphic>
          </wp:inline>
        </w:drawing>
      </w:r>
    </w:p>
    <w:p w:rsidR="00042CDD" w:rsidRPr="00042CDD" w:rsidRDefault="00042CDD" w:rsidP="00042CDD">
      <w:pPr>
        <w:jc w:val="center"/>
        <w:rPr>
          <w:rFonts w:ascii="Arial Narrow" w:hAnsi="Arial Narrow"/>
        </w:rPr>
      </w:pPr>
    </w:p>
    <w:p w:rsidR="00042CDD" w:rsidRPr="00042CDD" w:rsidRDefault="00042CDD" w:rsidP="00042CDD">
      <w:pPr>
        <w:jc w:val="center"/>
        <w:rPr>
          <w:rFonts w:ascii="Arial Narrow" w:hAnsi="Arial Narrow"/>
        </w:rPr>
      </w:pPr>
    </w:p>
    <w:p w:rsidR="00042CDD" w:rsidRPr="00042CDD" w:rsidRDefault="00042CDD" w:rsidP="00042CDD">
      <w:pPr>
        <w:spacing w:after="0" w:line="240" w:lineRule="auto"/>
        <w:jc w:val="center"/>
        <w:rPr>
          <w:rFonts w:ascii="Arial Narrow" w:hAnsi="Arial Narrow" w:cs="Segoe UI"/>
          <w:b/>
          <w:sz w:val="36"/>
          <w:szCs w:val="36"/>
          <w:lang w:val="en-US"/>
        </w:rPr>
      </w:pPr>
      <w:r w:rsidRPr="00042CDD">
        <w:rPr>
          <w:rFonts w:ascii="Arial Narrow" w:hAnsi="Arial Narrow" w:cs="Segoe UI"/>
          <w:b/>
          <w:sz w:val="36"/>
          <w:szCs w:val="36"/>
          <w:lang w:val="en-US"/>
        </w:rPr>
        <w:t>First Training Event: Preventive Early Career Education</w:t>
      </w:r>
    </w:p>
    <w:p w:rsidR="00042CDD" w:rsidRPr="00042CDD" w:rsidRDefault="00042CDD" w:rsidP="00042CDD">
      <w:pPr>
        <w:spacing w:after="0" w:line="240" w:lineRule="auto"/>
        <w:jc w:val="center"/>
        <w:rPr>
          <w:rFonts w:ascii="Arial Narrow" w:hAnsi="Arial Narrow" w:cs="Segoe UI"/>
          <w:b/>
          <w:sz w:val="28"/>
          <w:szCs w:val="28"/>
          <w:lang w:val="en-US"/>
        </w:rPr>
      </w:pPr>
    </w:p>
    <w:p w:rsidR="00042CDD" w:rsidRPr="00042CDD" w:rsidRDefault="00042CDD" w:rsidP="00042CDD">
      <w:pPr>
        <w:spacing w:after="0" w:line="240" w:lineRule="auto"/>
        <w:jc w:val="center"/>
        <w:rPr>
          <w:rFonts w:ascii="Arial Narrow" w:hAnsi="Arial Narrow" w:cs="Segoe UI"/>
          <w:b/>
          <w:sz w:val="36"/>
          <w:szCs w:val="36"/>
          <w:lang w:val="en-US"/>
        </w:rPr>
      </w:pPr>
      <w:r w:rsidRPr="00042CDD">
        <w:rPr>
          <w:rFonts w:ascii="Arial Narrow" w:hAnsi="Arial Narrow" w:cs="Segoe UI"/>
          <w:b/>
          <w:sz w:val="36"/>
          <w:szCs w:val="36"/>
          <w:lang w:val="en-US"/>
        </w:rPr>
        <w:t xml:space="preserve">February 17-19, 2020, University of </w:t>
      </w:r>
      <w:proofErr w:type="spellStart"/>
      <w:r w:rsidRPr="00042CDD">
        <w:rPr>
          <w:rFonts w:ascii="Arial Narrow" w:hAnsi="Arial Narrow" w:cs="Segoe UI"/>
          <w:b/>
          <w:sz w:val="36"/>
          <w:szCs w:val="36"/>
          <w:lang w:val="en-US"/>
        </w:rPr>
        <w:t>Padova</w:t>
      </w:r>
      <w:proofErr w:type="spellEnd"/>
    </w:p>
    <w:p w:rsidR="00042CDD" w:rsidRPr="00042CDD" w:rsidRDefault="00042CDD" w:rsidP="00042CDD">
      <w:pPr>
        <w:spacing w:after="0" w:line="240" w:lineRule="auto"/>
        <w:jc w:val="center"/>
        <w:rPr>
          <w:rFonts w:ascii="Arial Narrow" w:hAnsi="Arial Narrow" w:cs="Segoe UI"/>
          <w:b/>
          <w:sz w:val="36"/>
          <w:szCs w:val="36"/>
          <w:lang w:val="en-US"/>
        </w:rPr>
      </w:pPr>
    </w:p>
    <w:p w:rsidR="00042CDD" w:rsidRPr="00042CDD" w:rsidRDefault="00042CDD" w:rsidP="00042CDD">
      <w:pPr>
        <w:spacing w:after="0" w:line="240" w:lineRule="auto"/>
        <w:jc w:val="center"/>
        <w:rPr>
          <w:rFonts w:ascii="Arial Narrow" w:hAnsi="Arial Narrow" w:cs="Segoe UI"/>
          <w:b/>
          <w:sz w:val="36"/>
          <w:szCs w:val="36"/>
          <w:u w:val="single"/>
          <w:lang w:val="en-US"/>
        </w:rPr>
      </w:pPr>
      <w:r w:rsidRPr="00042CDD">
        <w:rPr>
          <w:rFonts w:ascii="Arial Narrow" w:hAnsi="Arial Narrow" w:cs="Segoe UI"/>
          <w:b/>
          <w:sz w:val="36"/>
          <w:szCs w:val="36"/>
          <w:u w:val="single"/>
          <w:lang w:val="en-US"/>
        </w:rPr>
        <w:t>Final Report</w:t>
      </w:r>
    </w:p>
    <w:p w:rsidR="00042CDD" w:rsidRPr="00086094" w:rsidRDefault="00042CDD" w:rsidP="00042CDD">
      <w:pPr>
        <w:jc w:val="center"/>
        <w:rPr>
          <w:rFonts w:ascii="Arial Narrow" w:hAnsi="Arial Narrow"/>
          <w:lang w:val="en-US"/>
        </w:rPr>
      </w:pPr>
      <w:r w:rsidRPr="00086094">
        <w:rPr>
          <w:rFonts w:ascii="Arial Narrow" w:hAnsi="Arial Narrow"/>
          <w:lang w:val="en-US"/>
        </w:rPr>
        <w:br w:type="page"/>
      </w:r>
    </w:p>
    <w:p w:rsidR="00042CDD" w:rsidRPr="003472C4" w:rsidRDefault="00042CDD" w:rsidP="00042CDD">
      <w:pPr>
        <w:jc w:val="both"/>
        <w:rPr>
          <w:rFonts w:ascii="Arial Narrow" w:hAnsi="Arial Narrow" w:cs="Times New Roman"/>
          <w:b/>
          <w:sz w:val="24"/>
          <w:szCs w:val="24"/>
          <w:lang w:val="en-US"/>
        </w:rPr>
      </w:pPr>
      <w:r w:rsidRPr="003472C4">
        <w:rPr>
          <w:rFonts w:ascii="Arial Narrow" w:hAnsi="Arial Narrow" w:cs="Times New Roman"/>
          <w:b/>
          <w:sz w:val="24"/>
          <w:szCs w:val="24"/>
          <w:lang w:val="en-US"/>
        </w:rPr>
        <w:lastRenderedPageBreak/>
        <w:t xml:space="preserve">1. Project Objectives </w:t>
      </w:r>
    </w:p>
    <w:p w:rsidR="00042CDD" w:rsidRPr="00042CDD" w:rsidRDefault="00042CDD" w:rsidP="00477283">
      <w:pPr>
        <w:spacing w:after="120"/>
        <w:jc w:val="both"/>
        <w:rPr>
          <w:rFonts w:ascii="Arial Narrow" w:hAnsi="Arial Narrow" w:cs="Times New Roman"/>
          <w:sz w:val="24"/>
          <w:szCs w:val="24"/>
          <w:lang w:val="en-US"/>
        </w:rPr>
      </w:pPr>
      <w:r w:rsidRPr="00042CDD">
        <w:rPr>
          <w:rFonts w:ascii="Arial Narrow" w:hAnsi="Arial Narrow" w:cs="Times New Roman"/>
          <w:sz w:val="24"/>
          <w:szCs w:val="24"/>
          <w:lang w:val="en-US"/>
        </w:rPr>
        <w:t xml:space="preserve">The </w:t>
      </w:r>
      <w:proofErr w:type="spellStart"/>
      <w:r w:rsidRPr="00042CDD">
        <w:rPr>
          <w:rFonts w:ascii="Arial Narrow" w:hAnsi="Arial Narrow" w:cs="Times New Roman"/>
          <w:sz w:val="24"/>
          <w:szCs w:val="24"/>
          <w:lang w:val="en-US"/>
        </w:rPr>
        <w:t>Arqus</w:t>
      </w:r>
      <w:proofErr w:type="spellEnd"/>
      <w:r w:rsidRPr="00042CDD">
        <w:rPr>
          <w:rFonts w:ascii="Arial Narrow" w:hAnsi="Arial Narrow" w:cs="Times New Roman"/>
          <w:sz w:val="24"/>
          <w:szCs w:val="24"/>
          <w:lang w:val="en-US"/>
        </w:rPr>
        <w:t xml:space="preserve"> European University Alliance brings together the universities of Bergen, Granada, Graz, Leipzig, Lyon, </w:t>
      </w:r>
      <w:proofErr w:type="spellStart"/>
      <w:r w:rsidRPr="00042CDD">
        <w:rPr>
          <w:rFonts w:ascii="Arial Narrow" w:hAnsi="Arial Narrow" w:cs="Times New Roman"/>
          <w:sz w:val="24"/>
          <w:szCs w:val="24"/>
          <w:lang w:val="en-US"/>
        </w:rPr>
        <w:t>Padova</w:t>
      </w:r>
      <w:proofErr w:type="spellEnd"/>
      <w:r w:rsidRPr="00042CDD">
        <w:rPr>
          <w:rFonts w:ascii="Arial Narrow" w:hAnsi="Arial Narrow" w:cs="Times New Roman"/>
          <w:sz w:val="24"/>
          <w:szCs w:val="24"/>
          <w:lang w:val="en-US"/>
        </w:rPr>
        <w:t xml:space="preserve"> and Vilnius, seven longstanding comprehensive research universities who share extensive experience in joint projects and a common profile as internationalized institutions with deep regional engagement in medium-sized cities.</w:t>
      </w:r>
      <w:r w:rsidR="00477283">
        <w:rPr>
          <w:rFonts w:ascii="Arial Narrow" w:hAnsi="Arial Narrow" w:cs="Times New Roman"/>
          <w:sz w:val="24"/>
          <w:szCs w:val="24"/>
          <w:lang w:val="en-US"/>
        </w:rPr>
        <w:t xml:space="preserve"> </w:t>
      </w:r>
    </w:p>
    <w:p w:rsidR="00042CDD" w:rsidRPr="00042CDD" w:rsidRDefault="00042CDD" w:rsidP="00477283">
      <w:pPr>
        <w:spacing w:after="0"/>
        <w:jc w:val="both"/>
        <w:rPr>
          <w:rFonts w:ascii="Arial Narrow" w:hAnsi="Arial Narrow" w:cs="Times New Roman"/>
          <w:sz w:val="24"/>
          <w:szCs w:val="24"/>
          <w:lang w:val="en-US"/>
        </w:rPr>
      </w:pPr>
      <w:proofErr w:type="spellStart"/>
      <w:r w:rsidRPr="00042CDD">
        <w:rPr>
          <w:rFonts w:ascii="Arial Narrow" w:hAnsi="Arial Narrow" w:cs="Times New Roman"/>
          <w:sz w:val="24"/>
          <w:szCs w:val="24"/>
          <w:lang w:val="en-US"/>
        </w:rPr>
        <w:t>Arqus</w:t>
      </w:r>
      <w:proofErr w:type="spellEnd"/>
      <w:r w:rsidRPr="00042CDD">
        <w:rPr>
          <w:rFonts w:ascii="Arial Narrow" w:hAnsi="Arial Narrow" w:cs="Times New Roman"/>
          <w:sz w:val="24"/>
          <w:szCs w:val="24"/>
          <w:lang w:val="en-US"/>
        </w:rPr>
        <w:t xml:space="preserve"> aspires to build on the member universities’ sound prior experience in cooperation in order to achieve a high level of integration in its members’ policies and action plans </w:t>
      </w:r>
      <w:proofErr w:type="gramStart"/>
      <w:r w:rsidRPr="00042CDD">
        <w:rPr>
          <w:rFonts w:ascii="Arial Narrow" w:hAnsi="Arial Narrow" w:cs="Times New Roman"/>
          <w:sz w:val="24"/>
          <w:szCs w:val="24"/>
          <w:lang w:val="en-US"/>
        </w:rPr>
        <w:t>in order to</w:t>
      </w:r>
      <w:proofErr w:type="gramEnd"/>
      <w:r w:rsidRPr="00042CDD">
        <w:rPr>
          <w:rFonts w:ascii="Arial Narrow" w:hAnsi="Arial Narrow" w:cs="Times New Roman"/>
          <w:sz w:val="24"/>
          <w:szCs w:val="24"/>
          <w:lang w:val="en-US"/>
        </w:rPr>
        <w:t>:</w:t>
      </w:r>
    </w:p>
    <w:p w:rsidR="00042CDD" w:rsidRPr="00477283" w:rsidRDefault="00042CDD" w:rsidP="00477283">
      <w:pPr>
        <w:pStyle w:val="Paragrafoelenco"/>
        <w:numPr>
          <w:ilvl w:val="0"/>
          <w:numId w:val="4"/>
        </w:numPr>
        <w:jc w:val="both"/>
        <w:rPr>
          <w:rFonts w:ascii="Arial Narrow" w:hAnsi="Arial Narrow"/>
          <w:sz w:val="24"/>
          <w:szCs w:val="24"/>
          <w:lang w:val="en-US"/>
        </w:rPr>
      </w:pPr>
      <w:r w:rsidRPr="00477283">
        <w:rPr>
          <w:rFonts w:ascii="Arial Narrow" w:hAnsi="Arial Narrow"/>
          <w:sz w:val="24"/>
          <w:szCs w:val="24"/>
          <w:lang w:val="en-US"/>
        </w:rPr>
        <w:t>enhance the education of critically engaged European and global citizens who are able and willing to contribute to a multicultural, multilingual and inclusive Europe which is open to the world;</w:t>
      </w:r>
    </w:p>
    <w:p w:rsidR="00042CDD" w:rsidRPr="00477283" w:rsidRDefault="00042CDD" w:rsidP="00477283">
      <w:pPr>
        <w:pStyle w:val="Paragrafoelenco"/>
        <w:numPr>
          <w:ilvl w:val="0"/>
          <w:numId w:val="4"/>
        </w:numPr>
        <w:jc w:val="both"/>
        <w:rPr>
          <w:rFonts w:ascii="Arial Narrow" w:hAnsi="Arial Narrow"/>
          <w:sz w:val="24"/>
          <w:szCs w:val="24"/>
          <w:lang w:val="en-US"/>
        </w:rPr>
      </w:pPr>
      <w:r w:rsidRPr="00477283">
        <w:rPr>
          <w:rFonts w:ascii="Arial Narrow" w:hAnsi="Arial Narrow"/>
          <w:sz w:val="24"/>
          <w:szCs w:val="24"/>
          <w:lang w:val="en-US"/>
        </w:rPr>
        <w:t>increase and improve the joint research capacity of the partner universities;</w:t>
      </w:r>
    </w:p>
    <w:p w:rsidR="00042CDD" w:rsidRPr="00477283" w:rsidRDefault="00042CDD" w:rsidP="00477283">
      <w:pPr>
        <w:pStyle w:val="Paragrafoelenco"/>
        <w:numPr>
          <w:ilvl w:val="0"/>
          <w:numId w:val="4"/>
        </w:numPr>
        <w:spacing w:after="120"/>
        <w:jc w:val="both"/>
        <w:rPr>
          <w:rFonts w:ascii="Arial Narrow" w:hAnsi="Arial Narrow"/>
          <w:sz w:val="24"/>
          <w:szCs w:val="24"/>
          <w:lang w:val="en-US"/>
        </w:rPr>
      </w:pPr>
      <w:proofErr w:type="gramStart"/>
      <w:r w:rsidRPr="00477283">
        <w:rPr>
          <w:rFonts w:ascii="Arial Narrow" w:hAnsi="Arial Narrow"/>
          <w:sz w:val="24"/>
          <w:szCs w:val="24"/>
          <w:lang w:val="en-US"/>
        </w:rPr>
        <w:t>better</w:t>
      </w:r>
      <w:proofErr w:type="gramEnd"/>
      <w:r w:rsidRPr="00477283">
        <w:rPr>
          <w:rFonts w:ascii="Arial Narrow" w:hAnsi="Arial Narrow"/>
          <w:sz w:val="24"/>
          <w:szCs w:val="24"/>
          <w:lang w:val="en-US"/>
        </w:rPr>
        <w:t xml:space="preserve"> respond to the grand societal challenges of the 21st century in Europe and beyond.</w:t>
      </w:r>
    </w:p>
    <w:p w:rsidR="00477283" w:rsidRPr="00477283" w:rsidRDefault="00477283" w:rsidP="00477283">
      <w:pPr>
        <w:spacing w:after="120"/>
        <w:jc w:val="both"/>
        <w:rPr>
          <w:rFonts w:ascii="Arial Narrow" w:hAnsi="Arial Narrow" w:cs="Times New Roman"/>
          <w:sz w:val="24"/>
          <w:szCs w:val="24"/>
          <w:lang w:val="en-US"/>
        </w:rPr>
      </w:pPr>
      <w:r w:rsidRPr="00477283">
        <w:rPr>
          <w:rFonts w:ascii="Arial Narrow" w:hAnsi="Arial Narrow" w:cs="Times New Roman"/>
          <w:sz w:val="24"/>
          <w:szCs w:val="24"/>
          <w:lang w:val="en-US"/>
        </w:rPr>
        <w:t xml:space="preserve">Through enhanced sustained cooperation, the </w:t>
      </w:r>
      <w:proofErr w:type="spellStart"/>
      <w:r w:rsidRPr="00477283">
        <w:rPr>
          <w:rFonts w:ascii="Arial Narrow" w:hAnsi="Arial Narrow" w:cs="Times New Roman"/>
          <w:sz w:val="24"/>
          <w:szCs w:val="24"/>
          <w:lang w:val="en-US"/>
        </w:rPr>
        <w:t>Arqus</w:t>
      </w:r>
      <w:proofErr w:type="spellEnd"/>
      <w:r w:rsidRPr="00477283">
        <w:rPr>
          <w:rFonts w:ascii="Arial Narrow" w:hAnsi="Arial Narrow" w:cs="Times New Roman"/>
          <w:sz w:val="24"/>
          <w:szCs w:val="24"/>
          <w:lang w:val="en-US"/>
        </w:rPr>
        <w:t xml:space="preserve"> European University Alliance work together as a laboratory for institutional learning in an innovative and open way to:</w:t>
      </w:r>
    </w:p>
    <w:p w:rsidR="00477283" w:rsidRPr="00477283" w:rsidRDefault="00477283" w:rsidP="00477283">
      <w:pPr>
        <w:pStyle w:val="Paragrafoelenco"/>
        <w:numPr>
          <w:ilvl w:val="0"/>
          <w:numId w:val="5"/>
        </w:numPr>
        <w:jc w:val="both"/>
        <w:rPr>
          <w:rFonts w:ascii="Arial Narrow" w:hAnsi="Arial Narrow"/>
          <w:sz w:val="24"/>
          <w:szCs w:val="24"/>
          <w:lang w:val="en-US"/>
        </w:rPr>
      </w:pPr>
      <w:r w:rsidRPr="00477283">
        <w:rPr>
          <w:rFonts w:ascii="Arial Narrow" w:hAnsi="Arial Narrow"/>
          <w:sz w:val="24"/>
          <w:szCs w:val="24"/>
          <w:lang w:val="en-US"/>
        </w:rPr>
        <w:t>Attain a substantially higher level of quality in education and research, and deeper societal, cultural and civic engagement.</w:t>
      </w:r>
    </w:p>
    <w:p w:rsidR="00477283" w:rsidRPr="00477283" w:rsidRDefault="00477283" w:rsidP="00477283">
      <w:pPr>
        <w:pStyle w:val="Paragrafoelenco"/>
        <w:numPr>
          <w:ilvl w:val="0"/>
          <w:numId w:val="5"/>
        </w:numPr>
        <w:jc w:val="both"/>
        <w:rPr>
          <w:rFonts w:ascii="Arial Narrow" w:hAnsi="Arial Narrow"/>
          <w:sz w:val="24"/>
          <w:szCs w:val="24"/>
          <w:lang w:val="en-US"/>
        </w:rPr>
      </w:pPr>
      <w:r w:rsidRPr="00477283">
        <w:rPr>
          <w:rFonts w:ascii="Arial Narrow" w:hAnsi="Arial Narrow"/>
          <w:sz w:val="24"/>
          <w:szCs w:val="24"/>
          <w:lang w:val="en-US"/>
        </w:rPr>
        <w:t>Educate engaged critical European citizens to become competent decision-makers.</w:t>
      </w:r>
    </w:p>
    <w:p w:rsidR="00477283" w:rsidRPr="00477283" w:rsidRDefault="00477283" w:rsidP="00477283">
      <w:pPr>
        <w:pStyle w:val="Paragrafoelenco"/>
        <w:numPr>
          <w:ilvl w:val="0"/>
          <w:numId w:val="5"/>
        </w:numPr>
        <w:jc w:val="both"/>
        <w:rPr>
          <w:rFonts w:ascii="Arial Narrow" w:hAnsi="Arial Narrow"/>
          <w:sz w:val="24"/>
          <w:szCs w:val="24"/>
          <w:lang w:val="en-US"/>
        </w:rPr>
      </w:pPr>
      <w:r w:rsidRPr="00477283">
        <w:rPr>
          <w:rFonts w:ascii="Arial Narrow" w:hAnsi="Arial Narrow"/>
          <w:sz w:val="24"/>
          <w:szCs w:val="24"/>
          <w:lang w:val="en-US"/>
        </w:rPr>
        <w:t>Become a model for European university integration.</w:t>
      </w:r>
    </w:p>
    <w:p w:rsidR="00477283" w:rsidRDefault="00477283" w:rsidP="00477283">
      <w:pPr>
        <w:pStyle w:val="Paragrafoelenco"/>
        <w:numPr>
          <w:ilvl w:val="0"/>
          <w:numId w:val="5"/>
        </w:numPr>
        <w:spacing w:after="120"/>
        <w:jc w:val="both"/>
        <w:rPr>
          <w:rFonts w:ascii="Arial Narrow" w:hAnsi="Arial Narrow"/>
          <w:sz w:val="24"/>
          <w:szCs w:val="24"/>
          <w:lang w:val="en-US"/>
        </w:rPr>
      </w:pPr>
      <w:r w:rsidRPr="00477283">
        <w:rPr>
          <w:rFonts w:ascii="Arial Narrow" w:hAnsi="Arial Narrow"/>
          <w:sz w:val="24"/>
          <w:szCs w:val="24"/>
          <w:lang w:val="en-US"/>
        </w:rPr>
        <w:t>Disseminate its experience, challenges and successes at European and global level.</w:t>
      </w:r>
    </w:p>
    <w:p w:rsidR="00477283" w:rsidRPr="00477283" w:rsidRDefault="00477283" w:rsidP="003472C4">
      <w:pPr>
        <w:spacing w:after="120" w:line="240" w:lineRule="auto"/>
        <w:jc w:val="both"/>
        <w:rPr>
          <w:rFonts w:ascii="Arial Narrow" w:hAnsi="Arial Narrow"/>
          <w:sz w:val="24"/>
          <w:szCs w:val="24"/>
          <w:lang w:val="en-US"/>
        </w:rPr>
      </w:pPr>
      <w:r>
        <w:rPr>
          <w:rFonts w:ascii="Arial Narrow" w:hAnsi="Arial Narrow" w:cs="Times New Roman"/>
          <w:sz w:val="24"/>
          <w:szCs w:val="24"/>
          <w:lang w:val="en-US"/>
        </w:rPr>
        <w:t>One of the</w:t>
      </w:r>
      <w:r>
        <w:rPr>
          <w:rFonts w:ascii="Arial Narrow" w:hAnsi="Arial Narrow"/>
          <w:sz w:val="24"/>
          <w:szCs w:val="24"/>
          <w:lang w:val="en-US"/>
        </w:rPr>
        <w:t xml:space="preserve"> </w:t>
      </w:r>
      <w:proofErr w:type="spellStart"/>
      <w:r w:rsidRPr="00477283">
        <w:rPr>
          <w:rFonts w:ascii="Arial Narrow" w:hAnsi="Arial Narrow" w:cs="Times New Roman"/>
          <w:sz w:val="24"/>
          <w:szCs w:val="24"/>
          <w:lang w:val="en-US"/>
        </w:rPr>
        <w:t>Arqus</w:t>
      </w:r>
      <w:proofErr w:type="spellEnd"/>
      <w:r w:rsidRPr="00477283">
        <w:rPr>
          <w:rFonts w:ascii="Arial Narrow" w:hAnsi="Arial Narrow" w:cs="Times New Roman"/>
          <w:sz w:val="24"/>
          <w:szCs w:val="24"/>
          <w:lang w:val="en-US"/>
        </w:rPr>
        <w:t xml:space="preserve"> European University Alliance</w:t>
      </w:r>
      <w:r>
        <w:rPr>
          <w:rFonts w:ascii="Arial Narrow" w:hAnsi="Arial Narrow" w:cs="Times New Roman"/>
          <w:sz w:val="24"/>
          <w:szCs w:val="24"/>
          <w:lang w:val="en-US"/>
        </w:rPr>
        <w:t>’s</w:t>
      </w:r>
      <w:r w:rsidRPr="00477283">
        <w:rPr>
          <w:rFonts w:ascii="Arial Narrow" w:hAnsi="Arial Narrow" w:cs="Times New Roman"/>
          <w:sz w:val="24"/>
          <w:szCs w:val="24"/>
          <w:lang w:val="en-US"/>
        </w:rPr>
        <w:t xml:space="preserve"> </w:t>
      </w:r>
      <w:r>
        <w:rPr>
          <w:rFonts w:ascii="Arial Narrow" w:hAnsi="Arial Narrow"/>
          <w:sz w:val="24"/>
          <w:szCs w:val="24"/>
          <w:lang w:val="en-US"/>
        </w:rPr>
        <w:t xml:space="preserve">major goals for 2025 is </w:t>
      </w:r>
      <w:r w:rsidRPr="00477283">
        <w:rPr>
          <w:rFonts w:ascii="Arial Narrow" w:hAnsi="Arial Narrow"/>
          <w:sz w:val="24"/>
          <w:szCs w:val="24"/>
          <w:lang w:val="en-US"/>
        </w:rPr>
        <w:t>widening access and inclusion</w:t>
      </w:r>
      <w:r>
        <w:rPr>
          <w:rFonts w:ascii="Arial Narrow" w:hAnsi="Arial Narrow"/>
          <w:sz w:val="24"/>
          <w:szCs w:val="24"/>
          <w:lang w:val="en-US"/>
        </w:rPr>
        <w:t>. Specifically, t</w:t>
      </w:r>
      <w:r w:rsidRPr="00477283">
        <w:rPr>
          <w:rFonts w:ascii="Arial Narrow" w:hAnsi="Arial Narrow"/>
          <w:sz w:val="24"/>
          <w:szCs w:val="24"/>
          <w:lang w:val="en-US"/>
        </w:rPr>
        <w:t>he Alliance aims to promote widening access for diverse student and</w:t>
      </w:r>
      <w:r>
        <w:rPr>
          <w:rFonts w:ascii="Arial Narrow" w:hAnsi="Arial Narrow"/>
          <w:sz w:val="24"/>
          <w:szCs w:val="24"/>
          <w:lang w:val="en-US"/>
        </w:rPr>
        <w:t xml:space="preserve"> </w:t>
      </w:r>
      <w:r w:rsidRPr="00477283">
        <w:rPr>
          <w:rFonts w:ascii="Arial Narrow" w:hAnsi="Arial Narrow"/>
          <w:sz w:val="24"/>
          <w:szCs w:val="24"/>
          <w:lang w:val="en-US"/>
        </w:rPr>
        <w:t>staff populations, facilitating inclusive admission and recruitment policies,</w:t>
      </w:r>
      <w:r>
        <w:rPr>
          <w:rFonts w:ascii="Arial Narrow" w:hAnsi="Arial Narrow"/>
          <w:sz w:val="24"/>
          <w:szCs w:val="24"/>
          <w:lang w:val="en-US"/>
        </w:rPr>
        <w:t xml:space="preserve"> </w:t>
      </w:r>
      <w:r w:rsidRPr="00477283">
        <w:rPr>
          <w:rFonts w:ascii="Arial Narrow" w:hAnsi="Arial Narrow"/>
          <w:sz w:val="24"/>
          <w:szCs w:val="24"/>
          <w:lang w:val="en-US"/>
        </w:rPr>
        <w:t>and attracting talent from less represented groups.</w:t>
      </w:r>
      <w:r>
        <w:rPr>
          <w:rFonts w:ascii="Arial Narrow" w:hAnsi="Arial Narrow"/>
          <w:sz w:val="24"/>
          <w:szCs w:val="24"/>
          <w:lang w:val="en-US"/>
        </w:rPr>
        <w:t xml:space="preserve"> </w:t>
      </w:r>
      <w:r w:rsidRPr="00477283">
        <w:rPr>
          <w:rFonts w:ascii="Arial Narrow" w:hAnsi="Arial Narrow"/>
          <w:sz w:val="24"/>
          <w:szCs w:val="24"/>
          <w:lang w:val="en-US"/>
        </w:rPr>
        <w:t>The Alliance aims to develop shared policies for inclusion and diversity</w:t>
      </w:r>
      <w:r>
        <w:rPr>
          <w:rFonts w:ascii="Arial Narrow" w:hAnsi="Arial Narrow"/>
          <w:sz w:val="24"/>
          <w:szCs w:val="24"/>
          <w:lang w:val="en-US"/>
        </w:rPr>
        <w:t xml:space="preserve"> </w:t>
      </w:r>
      <w:r w:rsidRPr="00477283">
        <w:rPr>
          <w:rFonts w:ascii="Arial Narrow" w:hAnsi="Arial Narrow"/>
          <w:sz w:val="24"/>
          <w:szCs w:val="24"/>
          <w:lang w:val="en-US"/>
        </w:rPr>
        <w:t>for all members of the university community</w:t>
      </w:r>
      <w:r>
        <w:rPr>
          <w:rFonts w:ascii="Arial Narrow" w:hAnsi="Arial Narrow"/>
          <w:sz w:val="24"/>
          <w:szCs w:val="24"/>
          <w:lang w:val="en-US"/>
        </w:rPr>
        <w:t xml:space="preserve">. </w:t>
      </w:r>
    </w:p>
    <w:p w:rsidR="003472C4" w:rsidRDefault="00042CDD" w:rsidP="003472C4">
      <w:pPr>
        <w:spacing w:after="120"/>
        <w:jc w:val="both"/>
        <w:rPr>
          <w:rFonts w:ascii="Arial Narrow" w:eastAsia="Calibri" w:hAnsi="Arial Narrow"/>
          <w:b/>
          <w:sz w:val="24"/>
          <w:szCs w:val="24"/>
          <w:lang w:val="en-GB"/>
        </w:rPr>
      </w:pPr>
      <w:r w:rsidRPr="00477283">
        <w:rPr>
          <w:rFonts w:ascii="Arial Narrow" w:hAnsi="Arial Narrow"/>
          <w:sz w:val="24"/>
          <w:szCs w:val="24"/>
          <w:lang w:val="en-US"/>
        </w:rPr>
        <w:t>Within th</w:t>
      </w:r>
      <w:r w:rsidR="003472C4">
        <w:rPr>
          <w:rFonts w:ascii="Arial Narrow" w:hAnsi="Arial Narrow"/>
          <w:sz w:val="24"/>
          <w:szCs w:val="24"/>
          <w:lang w:val="en-US"/>
        </w:rPr>
        <w:t>is</w:t>
      </w:r>
      <w:r w:rsidRPr="00477283">
        <w:rPr>
          <w:rFonts w:ascii="Arial Narrow" w:hAnsi="Arial Narrow"/>
          <w:sz w:val="24"/>
          <w:szCs w:val="24"/>
          <w:lang w:val="en-US"/>
        </w:rPr>
        <w:t xml:space="preserve"> action line “Widening Access, Inclusion and Diversity”, emphasis </w:t>
      </w:r>
      <w:proofErr w:type="gramStart"/>
      <w:r w:rsidRPr="00477283">
        <w:rPr>
          <w:rFonts w:ascii="Arial Narrow" w:hAnsi="Arial Narrow"/>
          <w:sz w:val="24"/>
          <w:szCs w:val="24"/>
          <w:lang w:val="en-US"/>
        </w:rPr>
        <w:t>is given</w:t>
      </w:r>
      <w:proofErr w:type="gramEnd"/>
      <w:r w:rsidRPr="00477283">
        <w:rPr>
          <w:rFonts w:ascii="Arial Narrow" w:hAnsi="Arial Narrow"/>
          <w:sz w:val="24"/>
          <w:szCs w:val="24"/>
          <w:lang w:val="en-US"/>
        </w:rPr>
        <w:t xml:space="preserve"> to </w:t>
      </w:r>
      <w:r w:rsidR="003472C4">
        <w:rPr>
          <w:rFonts w:ascii="Arial Narrow" w:hAnsi="Arial Narrow"/>
          <w:sz w:val="24"/>
          <w:szCs w:val="24"/>
          <w:lang w:val="en-US"/>
        </w:rPr>
        <w:t xml:space="preserve">the task </w:t>
      </w:r>
      <w:r w:rsidRPr="004022A7">
        <w:rPr>
          <w:rFonts w:ascii="Arial Narrow" w:eastAsia="Calibri" w:hAnsi="Arial Narrow"/>
          <w:b/>
          <w:sz w:val="24"/>
          <w:szCs w:val="24"/>
          <w:lang w:val="en-GB"/>
        </w:rPr>
        <w:t>2.1 Preventive early career education</w:t>
      </w:r>
      <w:r w:rsidR="003472C4">
        <w:rPr>
          <w:rFonts w:ascii="Arial Narrow" w:eastAsia="Calibri" w:hAnsi="Arial Narrow"/>
          <w:b/>
          <w:sz w:val="24"/>
          <w:szCs w:val="24"/>
          <w:lang w:val="en-GB"/>
        </w:rPr>
        <w:t xml:space="preserve">. </w:t>
      </w:r>
    </w:p>
    <w:p w:rsidR="003472C4" w:rsidRDefault="003472C4" w:rsidP="003472C4">
      <w:pPr>
        <w:jc w:val="both"/>
        <w:rPr>
          <w:rFonts w:ascii="Arial Narrow" w:eastAsia="Calibri" w:hAnsi="Arial Narrow"/>
          <w:b/>
          <w:sz w:val="24"/>
          <w:szCs w:val="24"/>
          <w:lang w:val="en-GB"/>
        </w:rPr>
      </w:pPr>
      <w:r w:rsidRPr="003472C4">
        <w:rPr>
          <w:rFonts w:ascii="Arial Narrow" w:eastAsia="Calibri" w:hAnsi="Arial Narrow"/>
          <w:sz w:val="24"/>
          <w:szCs w:val="24"/>
          <w:lang w:val="en-GB"/>
        </w:rPr>
        <w:t>Specifically,</w:t>
      </w:r>
      <w:r>
        <w:rPr>
          <w:rFonts w:ascii="Arial Narrow" w:eastAsia="Calibri" w:hAnsi="Arial Narrow"/>
          <w:b/>
          <w:sz w:val="24"/>
          <w:szCs w:val="24"/>
          <w:lang w:val="en-GB"/>
        </w:rPr>
        <w:t xml:space="preserve"> </w:t>
      </w:r>
      <w:proofErr w:type="spellStart"/>
      <w:r w:rsidR="00042CDD">
        <w:rPr>
          <w:rFonts w:ascii="Arial Narrow" w:eastAsia="Calibri" w:hAnsi="Arial Narrow"/>
          <w:sz w:val="24"/>
          <w:szCs w:val="24"/>
          <w:lang w:val="en-GB"/>
        </w:rPr>
        <w:t>Arqus</w:t>
      </w:r>
      <w:proofErr w:type="spellEnd"/>
      <w:r w:rsidR="00042CDD">
        <w:rPr>
          <w:rFonts w:ascii="Arial Narrow" w:eastAsia="Calibri" w:hAnsi="Arial Narrow"/>
          <w:sz w:val="24"/>
          <w:szCs w:val="24"/>
          <w:lang w:val="en-GB"/>
        </w:rPr>
        <w:t xml:space="preserve"> </w:t>
      </w:r>
      <w:r w:rsidR="00042CDD" w:rsidRPr="004022A7">
        <w:rPr>
          <w:rFonts w:ascii="Arial Narrow" w:eastAsia="Calibri" w:hAnsi="Arial Narrow"/>
          <w:sz w:val="24"/>
          <w:szCs w:val="24"/>
          <w:lang w:val="en-GB"/>
        </w:rPr>
        <w:t>recogni</w:t>
      </w:r>
      <w:r w:rsidR="00042CDD">
        <w:rPr>
          <w:rFonts w:ascii="Arial Narrow" w:eastAsia="Calibri" w:hAnsi="Arial Narrow"/>
          <w:sz w:val="24"/>
          <w:szCs w:val="24"/>
          <w:lang w:val="en-GB"/>
        </w:rPr>
        <w:t>zes</w:t>
      </w:r>
      <w:r w:rsidR="00042CDD" w:rsidRPr="004022A7">
        <w:rPr>
          <w:rFonts w:ascii="Arial Narrow" w:eastAsia="Calibri" w:hAnsi="Arial Narrow"/>
          <w:sz w:val="24"/>
          <w:szCs w:val="24"/>
          <w:lang w:val="en-GB"/>
        </w:rPr>
        <w:t xml:space="preserve"> the essential role played in early guidance and counselling in helping </w:t>
      </w:r>
      <w:proofErr w:type="gramStart"/>
      <w:r w:rsidR="00042CDD" w:rsidRPr="004022A7">
        <w:rPr>
          <w:rFonts w:ascii="Arial Narrow" w:eastAsia="Calibri" w:hAnsi="Arial Narrow"/>
          <w:sz w:val="24"/>
          <w:szCs w:val="24"/>
          <w:lang w:val="en-GB"/>
        </w:rPr>
        <w:t>school children</w:t>
      </w:r>
      <w:proofErr w:type="gramEnd"/>
      <w:r w:rsidR="00042CDD" w:rsidRPr="004022A7">
        <w:rPr>
          <w:rFonts w:ascii="Arial Narrow" w:eastAsia="Calibri" w:hAnsi="Arial Narrow"/>
          <w:sz w:val="24"/>
          <w:szCs w:val="24"/>
          <w:lang w:val="en-GB"/>
        </w:rPr>
        <w:t xml:space="preserve"> to make informed decisions about participating in higher education and choosing a career, and in the reduction and eradication of gender and other bias</w:t>
      </w:r>
      <w:r w:rsidR="00042CDD">
        <w:rPr>
          <w:rFonts w:ascii="Arial Narrow" w:eastAsia="Calibri" w:hAnsi="Arial Narrow"/>
          <w:sz w:val="24"/>
          <w:szCs w:val="24"/>
          <w:lang w:val="en-GB"/>
        </w:rPr>
        <w:t xml:space="preserve">. </w:t>
      </w:r>
      <w:proofErr w:type="spellStart"/>
      <w:r w:rsidR="00042CDD" w:rsidRPr="004022A7">
        <w:rPr>
          <w:rFonts w:ascii="Arial Narrow" w:eastAsia="Calibri" w:hAnsi="Arial Narrow"/>
          <w:sz w:val="24"/>
          <w:szCs w:val="24"/>
          <w:lang w:val="en-GB"/>
        </w:rPr>
        <w:t>Arqus</w:t>
      </w:r>
      <w:proofErr w:type="spellEnd"/>
      <w:r w:rsidR="00042CDD" w:rsidRPr="004022A7">
        <w:rPr>
          <w:rFonts w:ascii="Arial Narrow" w:eastAsia="Calibri" w:hAnsi="Arial Narrow"/>
          <w:sz w:val="24"/>
          <w:szCs w:val="24"/>
          <w:lang w:val="en-GB"/>
        </w:rPr>
        <w:t xml:space="preserve"> partner universities </w:t>
      </w:r>
      <w:r w:rsidR="00042CDD">
        <w:rPr>
          <w:rFonts w:ascii="Arial Narrow" w:eastAsia="Calibri" w:hAnsi="Arial Narrow"/>
          <w:sz w:val="24"/>
          <w:szCs w:val="24"/>
          <w:lang w:val="en-GB"/>
        </w:rPr>
        <w:t xml:space="preserve">thus </w:t>
      </w:r>
      <w:r w:rsidR="00042CDD" w:rsidRPr="004022A7">
        <w:rPr>
          <w:rFonts w:ascii="Arial Narrow" w:eastAsia="Calibri" w:hAnsi="Arial Narrow"/>
          <w:sz w:val="24"/>
          <w:szCs w:val="24"/>
          <w:lang w:val="en-GB"/>
        </w:rPr>
        <w:t xml:space="preserve">share best practice and existing models of interventions by universities and academics with primary and secondary school pupils, teachers and careers advisors. Career education aims at increasing primary school pupils’ knowledge of professional activities and role models, their self-determination, autonomous capacities to make a choice and soft-skills from very early stages. </w:t>
      </w:r>
      <w:proofErr w:type="spellStart"/>
      <w:r w:rsidR="00042CDD" w:rsidRPr="004022A7">
        <w:rPr>
          <w:rFonts w:ascii="Arial Narrow" w:eastAsia="Calibri" w:hAnsi="Arial Narrow"/>
          <w:sz w:val="24"/>
          <w:szCs w:val="24"/>
          <w:lang w:val="en-GB"/>
        </w:rPr>
        <w:t>Arqus</w:t>
      </w:r>
      <w:proofErr w:type="spellEnd"/>
      <w:r w:rsidR="00042CDD" w:rsidRPr="004022A7">
        <w:rPr>
          <w:rFonts w:ascii="Arial Narrow" w:eastAsia="Calibri" w:hAnsi="Arial Narrow"/>
          <w:sz w:val="24"/>
          <w:szCs w:val="24"/>
          <w:lang w:val="en-GB"/>
        </w:rPr>
        <w:t xml:space="preserve"> share models of</w:t>
      </w:r>
      <w:r w:rsidR="00042CDD">
        <w:rPr>
          <w:rFonts w:ascii="Arial Narrow" w:eastAsia="Calibri" w:hAnsi="Arial Narrow"/>
          <w:sz w:val="24"/>
          <w:szCs w:val="24"/>
          <w:lang w:val="en-GB"/>
        </w:rPr>
        <w:t>,</w:t>
      </w:r>
      <w:r w:rsidR="00042CDD" w:rsidRPr="004022A7">
        <w:rPr>
          <w:rFonts w:ascii="Arial Narrow" w:eastAsia="Calibri" w:hAnsi="Arial Narrow"/>
          <w:sz w:val="24"/>
          <w:szCs w:val="24"/>
          <w:lang w:val="en-GB"/>
        </w:rPr>
        <w:t xml:space="preserve"> and resources for</w:t>
      </w:r>
      <w:r w:rsidR="00042CDD">
        <w:rPr>
          <w:rFonts w:ascii="Arial Narrow" w:eastAsia="Calibri" w:hAnsi="Arial Narrow"/>
          <w:sz w:val="24"/>
          <w:szCs w:val="24"/>
          <w:lang w:val="en-GB"/>
        </w:rPr>
        <w:t>,</w:t>
      </w:r>
      <w:r w:rsidR="00042CDD" w:rsidRPr="004022A7">
        <w:rPr>
          <w:rFonts w:ascii="Arial Narrow" w:eastAsia="Calibri" w:hAnsi="Arial Narrow"/>
          <w:sz w:val="24"/>
          <w:szCs w:val="24"/>
          <w:lang w:val="en-GB"/>
        </w:rPr>
        <w:t xml:space="preserve"> preventive early career education activities to </w:t>
      </w:r>
      <w:proofErr w:type="gramStart"/>
      <w:r w:rsidR="00042CDD" w:rsidRPr="004022A7">
        <w:rPr>
          <w:rFonts w:ascii="Arial Narrow" w:eastAsia="Calibri" w:hAnsi="Arial Narrow"/>
          <w:sz w:val="24"/>
          <w:szCs w:val="24"/>
          <w:lang w:val="en-GB"/>
        </w:rPr>
        <w:t>be implemented</w:t>
      </w:r>
      <w:proofErr w:type="gramEnd"/>
      <w:r w:rsidR="00042CDD" w:rsidRPr="004022A7">
        <w:rPr>
          <w:rFonts w:ascii="Arial Narrow" w:eastAsia="Calibri" w:hAnsi="Arial Narrow"/>
          <w:sz w:val="24"/>
          <w:szCs w:val="24"/>
          <w:lang w:val="en-GB"/>
        </w:rPr>
        <w:t xml:space="preserve"> locally by each university. </w:t>
      </w:r>
      <w:r w:rsidRPr="004022A7">
        <w:rPr>
          <w:rFonts w:ascii="Arial Narrow" w:eastAsia="Calibri" w:hAnsi="Arial Narrow"/>
          <w:sz w:val="24"/>
          <w:szCs w:val="24"/>
          <w:lang w:val="en-GB"/>
        </w:rPr>
        <w:t xml:space="preserve">An annual joint Alliance training event </w:t>
      </w:r>
      <w:proofErr w:type="gramStart"/>
      <w:r>
        <w:rPr>
          <w:rFonts w:ascii="Arial Narrow" w:eastAsia="Calibri" w:hAnsi="Arial Narrow"/>
          <w:sz w:val="24"/>
          <w:szCs w:val="24"/>
          <w:lang w:val="en-GB"/>
        </w:rPr>
        <w:t>is</w:t>
      </w:r>
      <w:r w:rsidRPr="004022A7">
        <w:rPr>
          <w:rFonts w:ascii="Arial Narrow" w:eastAsia="Calibri" w:hAnsi="Arial Narrow"/>
          <w:sz w:val="24"/>
          <w:szCs w:val="24"/>
          <w:lang w:val="en-GB"/>
        </w:rPr>
        <w:t xml:space="preserve"> organized</w:t>
      </w:r>
      <w:proofErr w:type="gramEnd"/>
      <w:r w:rsidRPr="004022A7">
        <w:rPr>
          <w:rFonts w:ascii="Arial Narrow" w:eastAsia="Calibri" w:hAnsi="Arial Narrow"/>
          <w:sz w:val="24"/>
          <w:szCs w:val="24"/>
          <w:lang w:val="en-GB"/>
        </w:rPr>
        <w:t xml:space="preserve"> </w:t>
      </w:r>
      <w:r>
        <w:rPr>
          <w:rFonts w:ascii="Arial Narrow" w:eastAsia="Calibri" w:hAnsi="Arial Narrow"/>
          <w:sz w:val="24"/>
          <w:szCs w:val="24"/>
          <w:lang w:val="en-GB"/>
        </w:rPr>
        <w:t xml:space="preserve">through the </w:t>
      </w:r>
      <w:proofErr w:type="spellStart"/>
      <w:r>
        <w:rPr>
          <w:rFonts w:ascii="Arial Narrow" w:eastAsia="Calibri" w:hAnsi="Arial Narrow"/>
          <w:sz w:val="24"/>
          <w:szCs w:val="24"/>
          <w:lang w:val="en-GB"/>
        </w:rPr>
        <w:t>Arqus</w:t>
      </w:r>
      <w:proofErr w:type="spellEnd"/>
      <w:r>
        <w:rPr>
          <w:rFonts w:ascii="Arial Narrow" w:eastAsia="Calibri" w:hAnsi="Arial Narrow"/>
          <w:sz w:val="24"/>
          <w:szCs w:val="24"/>
          <w:lang w:val="en-GB"/>
        </w:rPr>
        <w:t xml:space="preserve"> Academy </w:t>
      </w:r>
      <w:r w:rsidRPr="004022A7">
        <w:rPr>
          <w:rFonts w:ascii="Arial Narrow" w:eastAsia="Calibri" w:hAnsi="Arial Narrow"/>
          <w:sz w:val="24"/>
          <w:szCs w:val="24"/>
          <w:lang w:val="en-GB"/>
        </w:rPr>
        <w:t xml:space="preserve">for local experts, who then share their expertise at local training events for university and school staff involved and for future primary and secondary school teachers and counsellors through the </w:t>
      </w:r>
      <w:proofErr w:type="spellStart"/>
      <w:r w:rsidRPr="004022A7">
        <w:rPr>
          <w:rFonts w:ascii="Arial Narrow" w:eastAsia="Calibri" w:hAnsi="Arial Narrow"/>
          <w:sz w:val="24"/>
          <w:szCs w:val="24"/>
          <w:lang w:val="en-GB"/>
        </w:rPr>
        <w:t>Arqus</w:t>
      </w:r>
      <w:proofErr w:type="spellEnd"/>
      <w:r w:rsidRPr="004022A7">
        <w:rPr>
          <w:rFonts w:ascii="Arial Narrow" w:eastAsia="Calibri" w:hAnsi="Arial Narrow"/>
          <w:sz w:val="24"/>
          <w:szCs w:val="24"/>
          <w:lang w:val="en-GB"/>
        </w:rPr>
        <w:t xml:space="preserve"> Faculties of Education. </w:t>
      </w:r>
    </w:p>
    <w:p w:rsidR="003472C4" w:rsidRDefault="003472C4" w:rsidP="003472C4">
      <w:pPr>
        <w:spacing w:after="120"/>
        <w:jc w:val="both"/>
        <w:rPr>
          <w:rFonts w:ascii="Arial Narrow" w:eastAsia="Calibri" w:hAnsi="Arial Narrow"/>
          <w:b/>
          <w:sz w:val="24"/>
          <w:szCs w:val="24"/>
          <w:lang w:val="en-GB"/>
        </w:rPr>
      </w:pPr>
    </w:p>
    <w:p w:rsidR="00D60FF3" w:rsidRDefault="003472C4" w:rsidP="00D60FF3">
      <w:pPr>
        <w:spacing w:after="120"/>
        <w:jc w:val="both"/>
        <w:rPr>
          <w:rFonts w:ascii="Arial Narrow" w:eastAsia="Calibri" w:hAnsi="Arial Narrow"/>
          <w:b/>
          <w:sz w:val="24"/>
          <w:szCs w:val="24"/>
          <w:lang w:val="en-GB"/>
        </w:rPr>
      </w:pPr>
      <w:r w:rsidRPr="003472C4">
        <w:rPr>
          <w:rFonts w:ascii="Arial Narrow" w:eastAsia="Calibri" w:hAnsi="Arial Narrow"/>
          <w:b/>
          <w:sz w:val="24"/>
          <w:szCs w:val="24"/>
          <w:lang w:val="en-GB"/>
        </w:rPr>
        <w:t xml:space="preserve">2. </w:t>
      </w:r>
      <w:r w:rsidR="00D60FF3">
        <w:rPr>
          <w:rFonts w:ascii="Arial Narrow" w:eastAsia="Calibri" w:hAnsi="Arial Narrow"/>
          <w:b/>
          <w:sz w:val="24"/>
          <w:szCs w:val="24"/>
          <w:lang w:val="en-GB"/>
        </w:rPr>
        <w:t xml:space="preserve">First Training event on </w:t>
      </w:r>
      <w:r w:rsidR="00D60FF3" w:rsidRPr="004022A7">
        <w:rPr>
          <w:rFonts w:ascii="Arial Narrow" w:eastAsia="Calibri" w:hAnsi="Arial Narrow"/>
          <w:b/>
          <w:sz w:val="24"/>
          <w:szCs w:val="24"/>
          <w:lang w:val="en-GB"/>
        </w:rPr>
        <w:t>Preventive early career education</w:t>
      </w:r>
    </w:p>
    <w:p w:rsidR="003F06DF" w:rsidRPr="002A38DC" w:rsidRDefault="002A38DC" w:rsidP="003F06DF">
      <w:pPr>
        <w:spacing w:after="120"/>
        <w:jc w:val="both"/>
        <w:rPr>
          <w:rFonts w:ascii="Arial Narrow" w:eastAsia="Calibri" w:hAnsi="Arial Narrow"/>
          <w:sz w:val="24"/>
          <w:szCs w:val="24"/>
          <w:lang w:val="en-US"/>
        </w:rPr>
      </w:pPr>
      <w:r w:rsidRPr="002A38DC">
        <w:rPr>
          <w:rFonts w:ascii="Arial Narrow" w:eastAsia="Calibri" w:hAnsi="Arial Narrow"/>
          <w:sz w:val="24"/>
          <w:szCs w:val="24"/>
          <w:lang w:val="en-GB"/>
        </w:rPr>
        <w:t xml:space="preserve">The First </w:t>
      </w:r>
      <w:r>
        <w:rPr>
          <w:rFonts w:ascii="Arial Narrow" w:eastAsia="Calibri" w:hAnsi="Arial Narrow"/>
          <w:sz w:val="24"/>
          <w:szCs w:val="24"/>
          <w:lang w:val="en-GB"/>
        </w:rPr>
        <w:t>Training event</w:t>
      </w:r>
      <w:r w:rsidRPr="002A38DC">
        <w:rPr>
          <w:rFonts w:ascii="Arial Narrow" w:eastAsia="Calibri" w:hAnsi="Arial Narrow"/>
          <w:sz w:val="24"/>
          <w:szCs w:val="24"/>
          <w:lang w:val="en-GB"/>
        </w:rPr>
        <w:t xml:space="preserve"> on Preventive early career education </w:t>
      </w:r>
      <w:r>
        <w:rPr>
          <w:rFonts w:ascii="Arial Narrow" w:eastAsia="Calibri" w:hAnsi="Arial Narrow"/>
          <w:sz w:val="24"/>
          <w:szCs w:val="24"/>
          <w:lang w:val="en-GB"/>
        </w:rPr>
        <w:t xml:space="preserve">was </w:t>
      </w:r>
      <w:r w:rsidRPr="002A38DC">
        <w:rPr>
          <w:rFonts w:ascii="Arial Narrow" w:eastAsia="Calibri" w:hAnsi="Arial Narrow"/>
          <w:sz w:val="24"/>
          <w:szCs w:val="24"/>
          <w:lang w:val="en-GB"/>
        </w:rPr>
        <w:t xml:space="preserve">hosted by </w:t>
      </w:r>
      <w:r>
        <w:rPr>
          <w:rFonts w:ascii="Arial Narrow" w:eastAsia="Calibri" w:hAnsi="Arial Narrow"/>
          <w:sz w:val="24"/>
          <w:szCs w:val="24"/>
          <w:lang w:val="en-GB"/>
        </w:rPr>
        <w:t>Larios Laboratory (Laboratory of Research and Intervention on Career Guidance</w:t>
      </w:r>
      <w:r w:rsidR="00086094">
        <w:rPr>
          <w:rFonts w:ascii="Arial Narrow" w:eastAsia="Calibri" w:hAnsi="Arial Narrow"/>
          <w:sz w:val="24"/>
          <w:szCs w:val="24"/>
          <w:lang w:val="en-GB"/>
        </w:rPr>
        <w:t xml:space="preserve">; </w:t>
      </w:r>
      <w:hyperlink r:id="rId8" w:history="1">
        <w:r w:rsidR="00086094" w:rsidRPr="001A00CF">
          <w:rPr>
            <w:rStyle w:val="Collegamentoipertestuale"/>
            <w:rFonts w:ascii="Arial Narrow" w:eastAsia="Calibri" w:hAnsi="Arial Narrow"/>
            <w:sz w:val="24"/>
            <w:szCs w:val="24"/>
            <w:lang w:val="en-US"/>
          </w:rPr>
          <w:t>http://www.larios.fisppa.unipd.it</w:t>
        </w:r>
      </w:hyperlink>
      <w:r>
        <w:rPr>
          <w:rFonts w:ascii="Arial Narrow" w:eastAsia="Calibri" w:hAnsi="Arial Narrow"/>
          <w:sz w:val="24"/>
          <w:szCs w:val="24"/>
          <w:lang w:val="en-GB"/>
        </w:rPr>
        <w:t xml:space="preserve">) of the University of </w:t>
      </w:r>
      <w:proofErr w:type="spellStart"/>
      <w:r>
        <w:rPr>
          <w:rFonts w:ascii="Arial Narrow" w:eastAsia="Calibri" w:hAnsi="Arial Narrow"/>
          <w:sz w:val="24"/>
          <w:szCs w:val="24"/>
          <w:lang w:val="en-GB"/>
        </w:rPr>
        <w:t>Padova</w:t>
      </w:r>
      <w:proofErr w:type="spellEnd"/>
      <w:r>
        <w:rPr>
          <w:rFonts w:ascii="Arial Narrow" w:eastAsia="Calibri" w:hAnsi="Arial Narrow"/>
          <w:sz w:val="24"/>
          <w:szCs w:val="24"/>
          <w:lang w:val="en-GB"/>
        </w:rPr>
        <w:t xml:space="preserve"> and coordinated by </w:t>
      </w:r>
      <w:proofErr w:type="gramStart"/>
      <w:r>
        <w:rPr>
          <w:rFonts w:ascii="Arial Narrow" w:eastAsia="Calibri" w:hAnsi="Arial Narrow"/>
          <w:sz w:val="24"/>
          <w:szCs w:val="24"/>
          <w:lang w:val="en-GB"/>
        </w:rPr>
        <w:t>dr</w:t>
      </w:r>
      <w:proofErr w:type="gramEnd"/>
      <w:r>
        <w:rPr>
          <w:rFonts w:ascii="Arial Narrow" w:eastAsia="Calibri" w:hAnsi="Arial Narrow"/>
          <w:sz w:val="24"/>
          <w:szCs w:val="24"/>
          <w:lang w:val="en-GB"/>
        </w:rPr>
        <w:t xml:space="preserve">. Maria Cristina Ginevra, </w:t>
      </w:r>
      <w:r w:rsidR="003F06DF">
        <w:rPr>
          <w:rFonts w:ascii="Arial Narrow" w:eastAsia="Calibri" w:hAnsi="Arial Narrow"/>
          <w:sz w:val="24"/>
          <w:szCs w:val="24"/>
          <w:lang w:val="en-GB"/>
        </w:rPr>
        <w:t>from February 17</w:t>
      </w:r>
      <w:r w:rsidR="003F06DF" w:rsidRPr="003F06DF">
        <w:rPr>
          <w:rFonts w:ascii="Arial Narrow" w:eastAsia="Calibri" w:hAnsi="Arial Narrow"/>
          <w:sz w:val="24"/>
          <w:szCs w:val="24"/>
          <w:vertAlign w:val="superscript"/>
          <w:lang w:val="en-GB"/>
        </w:rPr>
        <w:t>th</w:t>
      </w:r>
      <w:r w:rsidR="003F06DF">
        <w:rPr>
          <w:rFonts w:ascii="Arial Narrow" w:eastAsia="Calibri" w:hAnsi="Arial Narrow"/>
          <w:sz w:val="24"/>
          <w:szCs w:val="24"/>
          <w:lang w:val="en-GB"/>
        </w:rPr>
        <w:t xml:space="preserve"> to 19</w:t>
      </w:r>
      <w:r w:rsidR="003F06DF" w:rsidRPr="003F06DF">
        <w:rPr>
          <w:rFonts w:ascii="Arial Narrow" w:eastAsia="Calibri" w:hAnsi="Arial Narrow"/>
          <w:sz w:val="24"/>
          <w:szCs w:val="24"/>
          <w:vertAlign w:val="superscript"/>
          <w:lang w:val="en-GB"/>
        </w:rPr>
        <w:t>th</w:t>
      </w:r>
      <w:r w:rsidR="003F06DF">
        <w:rPr>
          <w:rFonts w:ascii="Arial Narrow" w:eastAsia="Calibri" w:hAnsi="Arial Narrow"/>
          <w:sz w:val="24"/>
          <w:szCs w:val="24"/>
          <w:lang w:val="en-GB"/>
        </w:rPr>
        <w:t xml:space="preserve"> 2020. It represents </w:t>
      </w:r>
      <w:r w:rsidRPr="002A38DC">
        <w:rPr>
          <w:rFonts w:ascii="Arial Narrow" w:eastAsia="Calibri" w:hAnsi="Arial Narrow"/>
          <w:sz w:val="24"/>
          <w:szCs w:val="24"/>
          <w:lang w:val="en-GB"/>
        </w:rPr>
        <w:t xml:space="preserve">the first effort developed by </w:t>
      </w:r>
      <w:r w:rsidR="003F06DF">
        <w:rPr>
          <w:rFonts w:ascii="Arial Narrow" w:eastAsia="Calibri" w:hAnsi="Arial Narrow"/>
          <w:sz w:val="24"/>
          <w:szCs w:val="24"/>
          <w:lang w:val="en-GB"/>
        </w:rPr>
        <w:t xml:space="preserve">2.1 task force of </w:t>
      </w:r>
      <w:proofErr w:type="spellStart"/>
      <w:r w:rsidR="003F06DF" w:rsidRPr="00042CDD">
        <w:rPr>
          <w:rFonts w:ascii="Arial Narrow" w:hAnsi="Arial Narrow" w:cs="Times New Roman"/>
          <w:sz w:val="24"/>
          <w:szCs w:val="24"/>
          <w:lang w:val="en-US"/>
        </w:rPr>
        <w:t>Arqus</w:t>
      </w:r>
      <w:proofErr w:type="spellEnd"/>
      <w:r w:rsidR="003F06DF" w:rsidRPr="00042CDD">
        <w:rPr>
          <w:rFonts w:ascii="Arial Narrow" w:hAnsi="Arial Narrow" w:cs="Times New Roman"/>
          <w:sz w:val="24"/>
          <w:szCs w:val="24"/>
          <w:lang w:val="en-US"/>
        </w:rPr>
        <w:t xml:space="preserve"> European University Alliance</w:t>
      </w:r>
      <w:r w:rsidR="003F06DF">
        <w:rPr>
          <w:rFonts w:ascii="Arial Narrow" w:hAnsi="Arial Narrow" w:cs="Times New Roman"/>
          <w:sz w:val="24"/>
          <w:szCs w:val="24"/>
          <w:lang w:val="en-US"/>
        </w:rPr>
        <w:t xml:space="preserve"> to </w:t>
      </w:r>
      <w:r w:rsidR="003F06DF" w:rsidRPr="004022A7">
        <w:rPr>
          <w:rFonts w:ascii="Arial Narrow" w:eastAsia="Calibri" w:hAnsi="Arial Narrow"/>
          <w:sz w:val="24"/>
          <w:szCs w:val="24"/>
          <w:lang w:val="en-GB"/>
        </w:rPr>
        <w:t xml:space="preserve">share best practice and existing </w:t>
      </w:r>
      <w:r w:rsidR="003F06DF">
        <w:rPr>
          <w:rFonts w:ascii="Arial Narrow" w:eastAsia="Calibri" w:hAnsi="Arial Narrow"/>
          <w:sz w:val="24"/>
          <w:szCs w:val="24"/>
          <w:lang w:val="en-GB"/>
        </w:rPr>
        <w:t xml:space="preserve">preventive </w:t>
      </w:r>
      <w:r w:rsidR="003F06DF" w:rsidRPr="004022A7">
        <w:rPr>
          <w:rFonts w:ascii="Arial Narrow" w:eastAsia="Calibri" w:hAnsi="Arial Narrow"/>
          <w:sz w:val="24"/>
          <w:szCs w:val="24"/>
          <w:lang w:val="en-GB"/>
        </w:rPr>
        <w:t xml:space="preserve">models of </w:t>
      </w:r>
      <w:r w:rsidR="003F06DF">
        <w:rPr>
          <w:rFonts w:ascii="Arial Narrow" w:eastAsia="Calibri" w:hAnsi="Arial Narrow"/>
          <w:sz w:val="24"/>
          <w:szCs w:val="24"/>
          <w:lang w:val="en-GB"/>
        </w:rPr>
        <w:t xml:space="preserve">early career education. </w:t>
      </w:r>
      <w:r w:rsidR="003F06DF">
        <w:rPr>
          <w:rFonts w:ascii="Arial Narrow" w:eastAsia="Calibri" w:hAnsi="Arial Narrow"/>
          <w:sz w:val="24"/>
          <w:szCs w:val="24"/>
          <w:lang w:val="en-US"/>
        </w:rPr>
        <w:t>It was</w:t>
      </w:r>
      <w:r w:rsidRPr="002A38DC">
        <w:rPr>
          <w:rFonts w:ascii="Arial Narrow" w:eastAsia="Calibri" w:hAnsi="Arial Narrow"/>
          <w:sz w:val="24"/>
          <w:szCs w:val="24"/>
          <w:lang w:val="en-US"/>
        </w:rPr>
        <w:t xml:space="preserve"> an opportunity to engage in a collaborative workgroup series with the </w:t>
      </w:r>
      <w:r w:rsidRPr="002A38DC">
        <w:rPr>
          <w:rFonts w:ascii="Arial Narrow" w:eastAsia="Calibri" w:hAnsi="Arial Narrow"/>
          <w:sz w:val="24"/>
          <w:szCs w:val="24"/>
          <w:lang w:val="en-US"/>
        </w:rPr>
        <w:lastRenderedPageBreak/>
        <w:t>purpose of learning about the challenges, activities, and</w:t>
      </w:r>
      <w:r w:rsidR="003F06DF">
        <w:rPr>
          <w:rFonts w:ascii="Arial Narrow" w:eastAsia="Calibri" w:hAnsi="Arial Narrow"/>
          <w:sz w:val="24"/>
          <w:szCs w:val="24"/>
          <w:lang w:val="en-US"/>
        </w:rPr>
        <w:t xml:space="preserve"> policies of career education in seven countries involved (Austria, France, Germany, Italy, Lithuania, Norway, </w:t>
      </w:r>
      <w:proofErr w:type="gramStart"/>
      <w:r w:rsidR="003F06DF">
        <w:rPr>
          <w:rFonts w:ascii="Arial Narrow" w:eastAsia="Calibri" w:hAnsi="Arial Narrow"/>
          <w:sz w:val="24"/>
          <w:szCs w:val="24"/>
          <w:lang w:val="en-US"/>
        </w:rPr>
        <w:t>Spain</w:t>
      </w:r>
      <w:proofErr w:type="gramEnd"/>
      <w:r w:rsidR="003F06DF">
        <w:rPr>
          <w:rFonts w:ascii="Arial Narrow" w:eastAsia="Calibri" w:hAnsi="Arial Narrow"/>
          <w:sz w:val="24"/>
          <w:szCs w:val="24"/>
          <w:lang w:val="en-US"/>
        </w:rPr>
        <w:t xml:space="preserve">). </w:t>
      </w:r>
    </w:p>
    <w:p w:rsidR="002A38DC" w:rsidRPr="002A38DC" w:rsidRDefault="002A38DC" w:rsidP="002A38DC">
      <w:pPr>
        <w:spacing w:after="120"/>
        <w:jc w:val="both"/>
        <w:rPr>
          <w:rFonts w:ascii="Arial Narrow" w:eastAsia="Calibri" w:hAnsi="Arial Narrow"/>
          <w:sz w:val="24"/>
          <w:szCs w:val="24"/>
          <w:lang w:val="en-US"/>
        </w:rPr>
      </w:pPr>
      <w:r w:rsidRPr="002A38DC">
        <w:rPr>
          <w:rFonts w:ascii="Arial Narrow" w:eastAsia="Calibri" w:hAnsi="Arial Narrow"/>
          <w:sz w:val="24"/>
          <w:szCs w:val="24"/>
          <w:lang w:val="en-US"/>
        </w:rPr>
        <w:t xml:space="preserve">Six workgroup sessions </w:t>
      </w:r>
      <w:r w:rsidR="003F06DF">
        <w:rPr>
          <w:rFonts w:ascii="Arial Narrow" w:eastAsia="Calibri" w:hAnsi="Arial Narrow"/>
          <w:sz w:val="24"/>
          <w:szCs w:val="24"/>
          <w:lang w:val="en-US"/>
        </w:rPr>
        <w:t>were</w:t>
      </w:r>
      <w:r w:rsidRPr="002A38DC">
        <w:rPr>
          <w:rFonts w:ascii="Arial Narrow" w:eastAsia="Calibri" w:hAnsi="Arial Narrow"/>
          <w:sz w:val="24"/>
          <w:szCs w:val="24"/>
          <w:lang w:val="en-US"/>
        </w:rPr>
        <w:t xml:space="preserve"> </w:t>
      </w:r>
      <w:proofErr w:type="gramStart"/>
      <w:r w:rsidRPr="002A38DC">
        <w:rPr>
          <w:rFonts w:ascii="Arial Narrow" w:eastAsia="Calibri" w:hAnsi="Arial Narrow"/>
          <w:sz w:val="24"/>
          <w:szCs w:val="24"/>
          <w:lang w:val="en-US"/>
        </w:rPr>
        <w:t>organized,</w:t>
      </w:r>
      <w:proofErr w:type="gramEnd"/>
      <w:r w:rsidRPr="002A38DC">
        <w:rPr>
          <w:rFonts w:ascii="Arial Narrow" w:eastAsia="Calibri" w:hAnsi="Arial Narrow"/>
          <w:sz w:val="24"/>
          <w:szCs w:val="24"/>
          <w:lang w:val="en-US"/>
        </w:rPr>
        <w:t xml:space="preserve"> focus</w:t>
      </w:r>
      <w:r w:rsidR="003F06DF">
        <w:rPr>
          <w:rFonts w:ascii="Arial Narrow" w:eastAsia="Calibri" w:hAnsi="Arial Narrow"/>
          <w:sz w:val="24"/>
          <w:szCs w:val="24"/>
          <w:lang w:val="en-US"/>
        </w:rPr>
        <w:t xml:space="preserve">ed on the following six topics: </w:t>
      </w:r>
    </w:p>
    <w:p w:rsidR="002A38DC" w:rsidRPr="003F06DF" w:rsidRDefault="002A38DC" w:rsidP="003F06DF">
      <w:pPr>
        <w:pStyle w:val="Paragrafoelenco"/>
        <w:numPr>
          <w:ilvl w:val="0"/>
          <w:numId w:val="8"/>
        </w:numPr>
        <w:ind w:left="714" w:hanging="357"/>
        <w:jc w:val="both"/>
        <w:rPr>
          <w:rFonts w:ascii="Arial Narrow" w:eastAsia="Calibri" w:hAnsi="Arial Narrow"/>
          <w:sz w:val="24"/>
          <w:szCs w:val="24"/>
          <w:lang w:val="en-US"/>
        </w:rPr>
      </w:pPr>
      <w:r w:rsidRPr="003F06DF">
        <w:rPr>
          <w:rFonts w:ascii="Arial Narrow" w:eastAsia="Calibri" w:hAnsi="Arial Narrow"/>
          <w:sz w:val="24"/>
          <w:szCs w:val="24"/>
          <w:lang w:val="en-US"/>
        </w:rPr>
        <w:t xml:space="preserve">Topic 1: Main Fears and Challenges Experienced by Young People in their Country </w:t>
      </w:r>
    </w:p>
    <w:p w:rsidR="002A38DC" w:rsidRPr="003F06DF" w:rsidRDefault="002A38DC" w:rsidP="003F06DF">
      <w:pPr>
        <w:pStyle w:val="Paragrafoelenco"/>
        <w:numPr>
          <w:ilvl w:val="0"/>
          <w:numId w:val="8"/>
        </w:numPr>
        <w:ind w:left="714" w:hanging="357"/>
        <w:jc w:val="both"/>
        <w:rPr>
          <w:rFonts w:ascii="Arial Narrow" w:eastAsia="Calibri" w:hAnsi="Arial Narrow"/>
          <w:sz w:val="24"/>
          <w:szCs w:val="24"/>
          <w:lang w:val="en-US"/>
        </w:rPr>
      </w:pPr>
      <w:r w:rsidRPr="003F06DF">
        <w:rPr>
          <w:rFonts w:ascii="Arial Narrow" w:eastAsia="Calibri" w:hAnsi="Arial Narrow"/>
          <w:sz w:val="24"/>
          <w:szCs w:val="24"/>
          <w:lang w:val="en-US"/>
        </w:rPr>
        <w:t xml:space="preserve">Topic 2: Organization of the school and university system </w:t>
      </w:r>
    </w:p>
    <w:p w:rsidR="002A38DC" w:rsidRPr="003F06DF" w:rsidRDefault="002A38DC" w:rsidP="003F06DF">
      <w:pPr>
        <w:pStyle w:val="Paragrafoelenco"/>
        <w:numPr>
          <w:ilvl w:val="0"/>
          <w:numId w:val="8"/>
        </w:numPr>
        <w:ind w:left="714" w:hanging="357"/>
        <w:jc w:val="both"/>
        <w:rPr>
          <w:rFonts w:ascii="Arial Narrow" w:eastAsia="Calibri" w:hAnsi="Arial Narrow"/>
          <w:sz w:val="24"/>
          <w:szCs w:val="24"/>
          <w:lang w:val="en-US"/>
        </w:rPr>
      </w:pPr>
      <w:r w:rsidRPr="003F06DF">
        <w:rPr>
          <w:rFonts w:ascii="Arial Narrow" w:eastAsia="Calibri" w:hAnsi="Arial Narrow"/>
          <w:sz w:val="24"/>
          <w:szCs w:val="24"/>
          <w:lang w:val="en-US"/>
        </w:rPr>
        <w:t xml:space="preserve">Topic 3: Overview of Career Guidance </w:t>
      </w:r>
    </w:p>
    <w:p w:rsidR="002A38DC" w:rsidRPr="003F06DF" w:rsidRDefault="002A38DC" w:rsidP="003F06DF">
      <w:pPr>
        <w:pStyle w:val="Paragrafoelenco"/>
        <w:numPr>
          <w:ilvl w:val="0"/>
          <w:numId w:val="8"/>
        </w:numPr>
        <w:ind w:left="714" w:hanging="357"/>
        <w:jc w:val="both"/>
        <w:rPr>
          <w:rFonts w:ascii="Arial Narrow" w:eastAsia="Calibri" w:hAnsi="Arial Narrow"/>
          <w:sz w:val="24"/>
          <w:szCs w:val="24"/>
          <w:lang w:val="en-US"/>
        </w:rPr>
      </w:pPr>
      <w:r w:rsidRPr="003F06DF">
        <w:rPr>
          <w:rFonts w:ascii="Arial Narrow" w:eastAsia="Calibri" w:hAnsi="Arial Narrow"/>
          <w:sz w:val="24"/>
          <w:szCs w:val="24"/>
          <w:lang w:val="en-US"/>
        </w:rPr>
        <w:t xml:space="preserve">Topic 4: Career Guidance and Inclusion </w:t>
      </w:r>
    </w:p>
    <w:p w:rsidR="002A38DC" w:rsidRPr="003F06DF" w:rsidRDefault="002A38DC" w:rsidP="003F06DF">
      <w:pPr>
        <w:pStyle w:val="Paragrafoelenco"/>
        <w:numPr>
          <w:ilvl w:val="0"/>
          <w:numId w:val="8"/>
        </w:numPr>
        <w:ind w:left="714" w:hanging="357"/>
        <w:jc w:val="both"/>
        <w:rPr>
          <w:rFonts w:ascii="Arial Narrow" w:eastAsia="Calibri" w:hAnsi="Arial Narrow"/>
          <w:sz w:val="24"/>
          <w:szCs w:val="24"/>
          <w:lang w:val="en-US"/>
        </w:rPr>
      </w:pPr>
      <w:r w:rsidRPr="003F06DF">
        <w:rPr>
          <w:rFonts w:ascii="Arial Narrow" w:eastAsia="Calibri" w:hAnsi="Arial Narrow"/>
          <w:sz w:val="24"/>
          <w:szCs w:val="24"/>
          <w:lang w:val="en-US"/>
        </w:rPr>
        <w:t xml:space="preserve">Topic 5: Accreditation frameworks for professionals delivering career guidance </w:t>
      </w:r>
    </w:p>
    <w:p w:rsidR="002A38DC" w:rsidRPr="003F06DF" w:rsidRDefault="002A38DC" w:rsidP="00A54B3D">
      <w:pPr>
        <w:pStyle w:val="Paragrafoelenco"/>
        <w:numPr>
          <w:ilvl w:val="0"/>
          <w:numId w:val="8"/>
        </w:numPr>
        <w:spacing w:after="120"/>
        <w:ind w:left="714" w:hanging="357"/>
        <w:jc w:val="both"/>
        <w:rPr>
          <w:rFonts w:ascii="Arial Narrow" w:eastAsia="Calibri" w:hAnsi="Arial Narrow"/>
          <w:sz w:val="24"/>
          <w:szCs w:val="24"/>
          <w:lang w:val="en-US"/>
        </w:rPr>
      </w:pPr>
      <w:r w:rsidRPr="003F06DF">
        <w:rPr>
          <w:rFonts w:ascii="Arial Narrow" w:eastAsia="Calibri" w:hAnsi="Arial Narrow"/>
          <w:sz w:val="24"/>
          <w:szCs w:val="24"/>
          <w:lang w:val="en-US"/>
        </w:rPr>
        <w:t xml:space="preserve">Topic 6: Good Career Education Practices </w:t>
      </w:r>
    </w:p>
    <w:p w:rsidR="00A54B3D" w:rsidRDefault="00A54B3D" w:rsidP="00A54B3D">
      <w:pPr>
        <w:spacing w:after="120"/>
        <w:jc w:val="both"/>
        <w:rPr>
          <w:rFonts w:ascii="Arial Narrow" w:hAnsi="Arial Narrow" w:cs="Times New Roman"/>
          <w:sz w:val="24"/>
          <w:szCs w:val="24"/>
          <w:lang w:val="en-US"/>
        </w:rPr>
      </w:pPr>
      <w:r>
        <w:rPr>
          <w:rFonts w:ascii="Arial Narrow" w:eastAsia="Calibri" w:hAnsi="Arial Narrow"/>
          <w:sz w:val="24"/>
          <w:szCs w:val="24"/>
          <w:lang w:val="en-US"/>
        </w:rPr>
        <w:t xml:space="preserve">In addition to members of task 2.1 of the </w:t>
      </w:r>
      <w:proofErr w:type="gramStart"/>
      <w:r>
        <w:rPr>
          <w:rFonts w:ascii="Arial Narrow" w:eastAsia="Calibri" w:hAnsi="Arial Narrow"/>
          <w:sz w:val="24"/>
          <w:szCs w:val="24"/>
          <w:lang w:val="en-US"/>
        </w:rPr>
        <w:t>university</w:t>
      </w:r>
      <w:proofErr w:type="gramEnd"/>
      <w:r>
        <w:rPr>
          <w:rFonts w:ascii="Arial Narrow" w:eastAsia="Calibri" w:hAnsi="Arial Narrow"/>
          <w:sz w:val="24"/>
          <w:szCs w:val="24"/>
          <w:lang w:val="en-US"/>
        </w:rPr>
        <w:t xml:space="preserve"> of </w:t>
      </w:r>
      <w:proofErr w:type="spellStart"/>
      <w:r>
        <w:rPr>
          <w:rFonts w:ascii="Arial Narrow" w:eastAsia="Calibri" w:hAnsi="Arial Narrow"/>
          <w:sz w:val="24"/>
          <w:szCs w:val="24"/>
          <w:lang w:val="en-US"/>
        </w:rPr>
        <w:t>Padova</w:t>
      </w:r>
      <w:proofErr w:type="spellEnd"/>
      <w:r>
        <w:rPr>
          <w:rFonts w:ascii="Arial Narrow" w:eastAsia="Calibri" w:hAnsi="Arial Narrow"/>
          <w:sz w:val="24"/>
          <w:szCs w:val="24"/>
          <w:lang w:val="en-US"/>
        </w:rPr>
        <w:t>, p</w:t>
      </w:r>
      <w:r w:rsidR="003006CC" w:rsidRPr="003006CC">
        <w:rPr>
          <w:rFonts w:ascii="Arial Narrow" w:eastAsia="Calibri" w:hAnsi="Arial Narrow"/>
          <w:sz w:val="24"/>
          <w:szCs w:val="24"/>
          <w:lang w:val="en-US"/>
        </w:rPr>
        <w:t xml:space="preserve">artners </w:t>
      </w:r>
      <w:r w:rsidR="003006CC">
        <w:rPr>
          <w:rFonts w:ascii="Arial Narrow" w:eastAsia="Calibri" w:hAnsi="Arial Narrow"/>
          <w:sz w:val="24"/>
          <w:szCs w:val="24"/>
          <w:lang w:val="en-US"/>
        </w:rPr>
        <w:t>of the Universit</w:t>
      </w:r>
      <w:r>
        <w:rPr>
          <w:rFonts w:ascii="Arial Narrow" w:eastAsia="Calibri" w:hAnsi="Arial Narrow"/>
          <w:sz w:val="24"/>
          <w:szCs w:val="24"/>
          <w:lang w:val="en-US"/>
        </w:rPr>
        <w:t>ies</w:t>
      </w:r>
      <w:r w:rsidR="003006CC">
        <w:rPr>
          <w:rFonts w:ascii="Arial Narrow" w:eastAsia="Calibri" w:hAnsi="Arial Narrow"/>
          <w:sz w:val="24"/>
          <w:szCs w:val="24"/>
          <w:lang w:val="en-US"/>
        </w:rPr>
        <w:t xml:space="preserve"> of </w:t>
      </w:r>
      <w:r w:rsidR="003006CC" w:rsidRPr="00042CDD">
        <w:rPr>
          <w:rFonts w:ascii="Arial Narrow" w:hAnsi="Arial Narrow" w:cs="Times New Roman"/>
          <w:sz w:val="24"/>
          <w:szCs w:val="24"/>
          <w:lang w:val="en-US"/>
        </w:rPr>
        <w:t xml:space="preserve">Bergen, Granada, Graz, </w:t>
      </w:r>
      <w:r>
        <w:rPr>
          <w:rFonts w:ascii="Arial Narrow" w:hAnsi="Arial Narrow" w:cs="Times New Roman"/>
          <w:sz w:val="24"/>
          <w:szCs w:val="24"/>
          <w:lang w:val="en-US"/>
        </w:rPr>
        <w:t xml:space="preserve">and Vilnius participated to the First Training event. </w:t>
      </w:r>
    </w:p>
    <w:p w:rsidR="00E671A1" w:rsidRDefault="00E671A1" w:rsidP="00A54B3D">
      <w:pPr>
        <w:spacing w:after="120"/>
        <w:jc w:val="both"/>
        <w:rPr>
          <w:rFonts w:ascii="Arial Narrow" w:hAnsi="Arial Narrow" w:cs="Times New Roman"/>
          <w:sz w:val="24"/>
          <w:szCs w:val="24"/>
          <w:lang w:val="en-US"/>
        </w:rPr>
      </w:pPr>
    </w:p>
    <w:p w:rsidR="00E671A1" w:rsidRDefault="00E671A1" w:rsidP="00E671A1">
      <w:pPr>
        <w:spacing w:after="120"/>
        <w:jc w:val="both"/>
        <w:rPr>
          <w:rFonts w:ascii="Arial Narrow" w:eastAsia="Calibri" w:hAnsi="Arial Narrow"/>
          <w:b/>
          <w:sz w:val="24"/>
          <w:szCs w:val="24"/>
          <w:lang w:val="en-GB"/>
        </w:rPr>
      </w:pPr>
      <w:r>
        <w:rPr>
          <w:rFonts w:ascii="Arial Narrow" w:eastAsia="Calibri" w:hAnsi="Arial Narrow"/>
          <w:b/>
          <w:sz w:val="24"/>
          <w:szCs w:val="24"/>
          <w:lang w:val="en-GB"/>
        </w:rPr>
        <w:t>3</w:t>
      </w:r>
      <w:r w:rsidRPr="003472C4">
        <w:rPr>
          <w:rFonts w:ascii="Arial Narrow" w:eastAsia="Calibri" w:hAnsi="Arial Narrow"/>
          <w:b/>
          <w:sz w:val="24"/>
          <w:szCs w:val="24"/>
          <w:lang w:val="en-GB"/>
        </w:rPr>
        <w:t xml:space="preserve">. </w:t>
      </w:r>
      <w:r>
        <w:rPr>
          <w:rFonts w:ascii="Arial Narrow" w:eastAsia="Calibri" w:hAnsi="Arial Narrow"/>
          <w:b/>
          <w:sz w:val="24"/>
          <w:szCs w:val="24"/>
          <w:lang w:val="en-GB"/>
        </w:rPr>
        <w:t>Outcomes and Results of the First Training event</w:t>
      </w:r>
    </w:p>
    <w:p w:rsidR="00CB3713" w:rsidRDefault="004E4A97" w:rsidP="003C0508">
      <w:pPr>
        <w:spacing w:after="120"/>
        <w:jc w:val="both"/>
        <w:rPr>
          <w:rFonts w:ascii="Arial Narrow" w:hAnsi="Arial Narrow" w:cs="Times New Roman"/>
          <w:sz w:val="24"/>
          <w:szCs w:val="24"/>
          <w:lang w:val="en-US"/>
        </w:rPr>
      </w:pPr>
      <w:proofErr w:type="spellStart"/>
      <w:r>
        <w:rPr>
          <w:rFonts w:ascii="Arial Narrow" w:hAnsi="Arial Narrow" w:cs="Times New Roman"/>
          <w:sz w:val="24"/>
          <w:szCs w:val="24"/>
          <w:lang w:val="en-US"/>
        </w:rPr>
        <w:t>Arqus</w:t>
      </w:r>
      <w:proofErr w:type="spellEnd"/>
      <w:r>
        <w:rPr>
          <w:rFonts w:ascii="Arial Narrow" w:hAnsi="Arial Narrow" w:cs="Times New Roman"/>
          <w:sz w:val="24"/>
          <w:szCs w:val="24"/>
          <w:lang w:val="en-US"/>
        </w:rPr>
        <w:t xml:space="preserve"> partners </w:t>
      </w:r>
      <w:r w:rsidR="002D1D34">
        <w:rPr>
          <w:rFonts w:ascii="Arial Narrow" w:hAnsi="Arial Narrow" w:cs="Times New Roman"/>
          <w:sz w:val="24"/>
          <w:szCs w:val="24"/>
          <w:lang w:val="en-US"/>
        </w:rPr>
        <w:t>debated</w:t>
      </w:r>
      <w:r>
        <w:rPr>
          <w:rFonts w:ascii="Arial Narrow" w:hAnsi="Arial Narrow" w:cs="Times New Roman"/>
          <w:sz w:val="24"/>
          <w:szCs w:val="24"/>
          <w:lang w:val="en-US"/>
        </w:rPr>
        <w:t xml:space="preserve"> that </w:t>
      </w:r>
      <w:r w:rsidR="003C0508" w:rsidRPr="003C0508">
        <w:rPr>
          <w:rFonts w:ascii="Arial Narrow" w:hAnsi="Arial Narrow" w:cs="Times New Roman"/>
          <w:sz w:val="24"/>
          <w:szCs w:val="24"/>
          <w:lang w:val="en-US"/>
        </w:rPr>
        <w:t xml:space="preserve">phenomena as globalization, technological progression, and societal </w:t>
      </w:r>
      <w:r w:rsidR="003C0508" w:rsidRPr="003C0508">
        <w:rPr>
          <w:rFonts w:ascii="Arial Narrow" w:hAnsi="Arial Narrow" w:cs="Times New Roman"/>
          <w:sz w:val="24"/>
          <w:szCs w:val="24"/>
          <w:lang w:val="en-GB"/>
        </w:rPr>
        <w:t>changes have produced substantial changes in the labo</w:t>
      </w:r>
      <w:r w:rsidR="00CE3205">
        <w:rPr>
          <w:rFonts w:ascii="Arial Narrow" w:hAnsi="Arial Narrow" w:cs="Times New Roman"/>
          <w:sz w:val="24"/>
          <w:szCs w:val="24"/>
          <w:lang w:val="en-GB"/>
        </w:rPr>
        <w:t>u</w:t>
      </w:r>
      <w:r w:rsidR="003C0508" w:rsidRPr="003C0508">
        <w:rPr>
          <w:rFonts w:ascii="Arial Narrow" w:hAnsi="Arial Narrow" w:cs="Times New Roman"/>
          <w:sz w:val="24"/>
          <w:szCs w:val="24"/>
          <w:lang w:val="en-GB"/>
        </w:rPr>
        <w:t>r</w:t>
      </w:r>
      <w:r w:rsidR="003C0508">
        <w:rPr>
          <w:rFonts w:ascii="Arial Narrow" w:hAnsi="Arial Narrow" w:cs="Times New Roman"/>
          <w:sz w:val="24"/>
          <w:szCs w:val="24"/>
          <w:lang w:val="en-GB"/>
        </w:rPr>
        <w:t xml:space="preserve"> </w:t>
      </w:r>
      <w:r w:rsidR="003C0508" w:rsidRPr="003C0508">
        <w:rPr>
          <w:rFonts w:ascii="Arial Narrow" w:hAnsi="Arial Narrow" w:cs="Times New Roman"/>
          <w:sz w:val="24"/>
          <w:szCs w:val="24"/>
          <w:lang w:val="en-GB"/>
        </w:rPr>
        <w:t>market: Employment and work are more flexible, career</w:t>
      </w:r>
      <w:r w:rsidR="003C0508">
        <w:rPr>
          <w:rFonts w:ascii="Arial Narrow" w:hAnsi="Arial Narrow" w:cs="Times New Roman"/>
          <w:sz w:val="24"/>
          <w:szCs w:val="24"/>
          <w:lang w:val="en-GB"/>
        </w:rPr>
        <w:t xml:space="preserve"> </w:t>
      </w:r>
      <w:r w:rsidR="003C0508" w:rsidRPr="003C0508">
        <w:rPr>
          <w:rFonts w:ascii="Arial Narrow" w:hAnsi="Arial Narrow" w:cs="Times New Roman"/>
          <w:sz w:val="24"/>
          <w:szCs w:val="24"/>
          <w:lang w:val="en-GB"/>
        </w:rPr>
        <w:t>transitions are more recurrent, and career paths are far</w:t>
      </w:r>
      <w:r w:rsidR="003C0508">
        <w:rPr>
          <w:rFonts w:ascii="Arial Narrow" w:hAnsi="Arial Narrow" w:cs="Times New Roman"/>
          <w:sz w:val="24"/>
          <w:szCs w:val="24"/>
          <w:lang w:val="en-GB"/>
        </w:rPr>
        <w:t xml:space="preserve"> </w:t>
      </w:r>
      <w:r w:rsidR="003C0508" w:rsidRPr="003C0508">
        <w:rPr>
          <w:rFonts w:ascii="Arial Narrow" w:hAnsi="Arial Narrow" w:cs="Times New Roman"/>
          <w:sz w:val="24"/>
          <w:szCs w:val="24"/>
          <w:lang w:val="en-GB"/>
        </w:rPr>
        <w:t>less predictable than t</w:t>
      </w:r>
      <w:r w:rsidR="003C0508">
        <w:rPr>
          <w:rFonts w:ascii="Arial Narrow" w:hAnsi="Arial Narrow" w:cs="Times New Roman"/>
          <w:sz w:val="24"/>
          <w:szCs w:val="24"/>
          <w:lang w:val="en-GB"/>
        </w:rPr>
        <w:t>wo decades ago (</w:t>
      </w:r>
      <w:proofErr w:type="spellStart"/>
      <w:r w:rsidR="003C0508">
        <w:rPr>
          <w:rFonts w:ascii="Arial Narrow" w:hAnsi="Arial Narrow" w:cs="Times New Roman"/>
          <w:sz w:val="24"/>
          <w:szCs w:val="24"/>
          <w:lang w:val="en-GB"/>
        </w:rPr>
        <w:t>Savickas</w:t>
      </w:r>
      <w:proofErr w:type="spellEnd"/>
      <w:r w:rsidR="003C0508">
        <w:rPr>
          <w:rFonts w:ascii="Arial Narrow" w:hAnsi="Arial Narrow" w:cs="Times New Roman"/>
          <w:sz w:val="24"/>
          <w:szCs w:val="24"/>
          <w:lang w:val="en-GB"/>
        </w:rPr>
        <w:t xml:space="preserve">, 2015). </w:t>
      </w:r>
      <w:r w:rsidR="00CE3205" w:rsidRPr="00CE3205">
        <w:rPr>
          <w:rFonts w:ascii="Arial Narrow" w:hAnsi="Arial Narrow" w:cs="Times New Roman"/>
          <w:sz w:val="24"/>
          <w:szCs w:val="24"/>
          <w:lang w:val="en-US"/>
        </w:rPr>
        <w:t xml:space="preserve">The economic crisis that has hit Western countries over the last decade has had further effects on the </w:t>
      </w:r>
      <w:r w:rsidR="00E671A1" w:rsidRPr="00CE3205">
        <w:rPr>
          <w:rFonts w:ascii="Arial Narrow" w:hAnsi="Arial Narrow" w:cs="Times New Roman"/>
          <w:sz w:val="24"/>
          <w:szCs w:val="24"/>
          <w:lang w:val="en-US"/>
        </w:rPr>
        <w:t>labor</w:t>
      </w:r>
      <w:r w:rsidR="00CE3205" w:rsidRPr="00CE3205">
        <w:rPr>
          <w:rFonts w:ascii="Arial Narrow" w:hAnsi="Arial Narrow" w:cs="Times New Roman"/>
          <w:sz w:val="24"/>
          <w:szCs w:val="24"/>
          <w:lang w:val="en-US"/>
        </w:rPr>
        <w:t xml:space="preserve"> market, with an increase in youth unemployment, especially in southern countries</w:t>
      </w:r>
      <w:r w:rsidR="00086094">
        <w:rPr>
          <w:rFonts w:ascii="Arial Narrow" w:hAnsi="Arial Narrow" w:cs="Times New Roman"/>
          <w:sz w:val="24"/>
          <w:szCs w:val="24"/>
          <w:lang w:val="en-US"/>
        </w:rPr>
        <w:t>, and low access to decent work (</w:t>
      </w:r>
      <w:proofErr w:type="spellStart"/>
      <w:r w:rsidR="00086094">
        <w:rPr>
          <w:rFonts w:ascii="Arial Narrow" w:hAnsi="Arial Narrow" w:cs="Times New Roman"/>
          <w:sz w:val="24"/>
          <w:szCs w:val="24"/>
          <w:lang w:val="en-US"/>
        </w:rPr>
        <w:t>Unitwin</w:t>
      </w:r>
      <w:proofErr w:type="spellEnd"/>
      <w:r w:rsidR="00086094">
        <w:rPr>
          <w:rFonts w:ascii="Arial Narrow" w:hAnsi="Arial Narrow" w:cs="Times New Roman"/>
          <w:sz w:val="24"/>
          <w:szCs w:val="24"/>
          <w:lang w:val="en-US"/>
        </w:rPr>
        <w:t xml:space="preserve"> International Network, </w:t>
      </w:r>
      <w:hyperlink r:id="rId9" w:history="1">
        <w:r w:rsidR="00086094" w:rsidRPr="00086094">
          <w:rPr>
            <w:rStyle w:val="Collegamentoipertestuale"/>
            <w:rFonts w:ascii="Arial Narrow" w:hAnsi="Arial Narrow" w:cs="Times New Roman"/>
            <w:sz w:val="24"/>
            <w:szCs w:val="24"/>
            <w:lang w:val="en-US"/>
          </w:rPr>
          <w:t>https://wp.unil.ch/unitwin/</w:t>
        </w:r>
      </w:hyperlink>
      <w:r w:rsidR="00086094">
        <w:rPr>
          <w:rFonts w:ascii="Arial Narrow" w:hAnsi="Arial Narrow" w:cs="Times New Roman"/>
          <w:sz w:val="24"/>
          <w:szCs w:val="24"/>
          <w:lang w:val="en-US"/>
        </w:rPr>
        <w:t>)</w:t>
      </w:r>
      <w:r w:rsidR="00CE3205" w:rsidRPr="00CE3205">
        <w:rPr>
          <w:rFonts w:ascii="Arial Narrow" w:hAnsi="Arial Narrow" w:cs="Times New Roman"/>
          <w:sz w:val="24"/>
          <w:szCs w:val="24"/>
          <w:lang w:val="en-US"/>
        </w:rPr>
        <w:t>.</w:t>
      </w:r>
      <w:r w:rsidR="003C0508" w:rsidRPr="00CE3205">
        <w:rPr>
          <w:rFonts w:ascii="Arial Narrow" w:hAnsi="Arial Narrow" w:cs="Times New Roman"/>
          <w:sz w:val="24"/>
          <w:szCs w:val="24"/>
          <w:lang w:val="en-US"/>
        </w:rPr>
        <w:t xml:space="preserve"> </w:t>
      </w:r>
      <w:r w:rsidR="00CB3713" w:rsidRPr="00CB3713">
        <w:rPr>
          <w:rFonts w:ascii="Arial Narrow" w:hAnsi="Arial Narrow" w:cs="Times New Roman"/>
          <w:sz w:val="24"/>
          <w:szCs w:val="24"/>
          <w:lang w:val="en-US"/>
        </w:rPr>
        <w:t xml:space="preserve">Even children and youth appear to </w:t>
      </w:r>
      <w:proofErr w:type="gramStart"/>
      <w:r w:rsidR="00CB3713" w:rsidRPr="00CB3713">
        <w:rPr>
          <w:rFonts w:ascii="Arial Narrow" w:hAnsi="Arial Narrow" w:cs="Times New Roman"/>
          <w:sz w:val="24"/>
          <w:szCs w:val="24"/>
          <w:lang w:val="en-US"/>
        </w:rPr>
        <w:t>be influenced</w:t>
      </w:r>
      <w:proofErr w:type="gramEnd"/>
      <w:r w:rsidR="00CB3713" w:rsidRPr="00CB3713">
        <w:rPr>
          <w:rFonts w:ascii="Arial Narrow" w:hAnsi="Arial Narrow" w:cs="Times New Roman"/>
          <w:sz w:val="24"/>
          <w:szCs w:val="24"/>
          <w:lang w:val="en-US"/>
        </w:rPr>
        <w:t xml:space="preserve"> from this condition;</w:t>
      </w:r>
      <w:r w:rsidR="00CB3713">
        <w:rPr>
          <w:rFonts w:ascii="Arial Narrow" w:hAnsi="Arial Narrow" w:cs="Times New Roman"/>
          <w:sz w:val="24"/>
          <w:szCs w:val="24"/>
          <w:lang w:val="en-US"/>
        </w:rPr>
        <w:t xml:space="preserve"> </w:t>
      </w:r>
      <w:r w:rsidR="00E671A1">
        <w:rPr>
          <w:rFonts w:ascii="Arial Narrow" w:hAnsi="Arial Narrow" w:cs="Times New Roman"/>
          <w:sz w:val="24"/>
          <w:szCs w:val="24"/>
          <w:lang w:val="en-US"/>
        </w:rPr>
        <w:t xml:space="preserve">generally, </w:t>
      </w:r>
      <w:r w:rsidR="00CB3713" w:rsidRPr="00CB3713">
        <w:rPr>
          <w:rFonts w:ascii="Arial Narrow" w:hAnsi="Arial Narrow" w:cs="Times New Roman"/>
          <w:sz w:val="24"/>
          <w:szCs w:val="24"/>
          <w:lang w:val="en-US"/>
        </w:rPr>
        <w:t>they tend to have negative perceptions about their future, that is, discomfort, uneasiness, and confusion, and limited propensity to think about multiple options and improvements in their future living conditions (Ginevra et al., 2016).</w:t>
      </w:r>
      <w:r w:rsidR="00E671A1">
        <w:rPr>
          <w:rFonts w:ascii="Arial Narrow" w:hAnsi="Arial Narrow" w:cs="Times New Roman"/>
          <w:sz w:val="24"/>
          <w:szCs w:val="24"/>
          <w:lang w:val="en-US"/>
        </w:rPr>
        <w:t xml:space="preserve"> This seems particularly true for youth who live in western countries with higher rate of unemployment and precariousness (e.g. Italy, Spain, </w:t>
      </w:r>
      <w:proofErr w:type="gramStart"/>
      <w:r w:rsidR="00E671A1">
        <w:rPr>
          <w:rFonts w:ascii="Arial Narrow" w:hAnsi="Arial Narrow" w:cs="Times New Roman"/>
          <w:sz w:val="24"/>
          <w:szCs w:val="24"/>
          <w:lang w:val="en-US"/>
        </w:rPr>
        <w:t>Lithuania</w:t>
      </w:r>
      <w:proofErr w:type="gramEnd"/>
      <w:r w:rsidR="00E671A1">
        <w:rPr>
          <w:rFonts w:ascii="Arial Narrow" w:hAnsi="Arial Narrow" w:cs="Times New Roman"/>
          <w:sz w:val="24"/>
          <w:szCs w:val="24"/>
          <w:lang w:val="en-US"/>
        </w:rPr>
        <w:t xml:space="preserve">). </w:t>
      </w:r>
    </w:p>
    <w:p w:rsidR="00E671A1" w:rsidRDefault="00CB3713" w:rsidP="00CB3713">
      <w:pPr>
        <w:spacing w:after="120"/>
        <w:jc w:val="both"/>
        <w:rPr>
          <w:rFonts w:ascii="Arial Narrow" w:hAnsi="Arial Narrow" w:cs="Times New Roman"/>
          <w:sz w:val="24"/>
          <w:szCs w:val="24"/>
          <w:lang w:val="en-US"/>
        </w:rPr>
      </w:pPr>
      <w:r w:rsidRPr="00CB3713">
        <w:rPr>
          <w:rFonts w:ascii="Arial Narrow" w:hAnsi="Arial Narrow" w:cs="Times New Roman"/>
          <w:sz w:val="24"/>
          <w:szCs w:val="24"/>
          <w:lang w:val="en-GB"/>
        </w:rPr>
        <w:t>In relation to the challenges</w:t>
      </w:r>
      <w:r>
        <w:rPr>
          <w:rFonts w:ascii="Arial Narrow" w:hAnsi="Arial Narrow" w:cs="Times New Roman"/>
          <w:sz w:val="24"/>
          <w:szCs w:val="24"/>
          <w:lang w:val="en-GB"/>
        </w:rPr>
        <w:t xml:space="preserve"> of the current world of work</w:t>
      </w:r>
      <w:r w:rsidRPr="00CB3713">
        <w:rPr>
          <w:rFonts w:ascii="Arial Narrow" w:hAnsi="Arial Narrow" w:cs="Times New Roman"/>
          <w:sz w:val="24"/>
          <w:szCs w:val="24"/>
          <w:lang w:val="en-GB"/>
        </w:rPr>
        <w:t xml:space="preserve">, </w:t>
      </w:r>
      <w:proofErr w:type="spellStart"/>
      <w:r>
        <w:rPr>
          <w:rFonts w:ascii="Arial Narrow" w:hAnsi="Arial Narrow" w:cs="Times New Roman"/>
          <w:sz w:val="24"/>
          <w:szCs w:val="24"/>
          <w:lang w:val="en-GB"/>
        </w:rPr>
        <w:t>Arqus</w:t>
      </w:r>
      <w:proofErr w:type="spellEnd"/>
      <w:r>
        <w:rPr>
          <w:rFonts w:ascii="Arial Narrow" w:hAnsi="Arial Narrow" w:cs="Times New Roman"/>
          <w:sz w:val="24"/>
          <w:szCs w:val="24"/>
          <w:lang w:val="en-GB"/>
        </w:rPr>
        <w:t xml:space="preserve"> partners shared the idea that </w:t>
      </w:r>
      <w:r w:rsidRPr="00CB3713">
        <w:rPr>
          <w:rFonts w:ascii="Arial Narrow" w:hAnsi="Arial Narrow" w:cs="Times New Roman"/>
          <w:sz w:val="24"/>
          <w:szCs w:val="24"/>
          <w:lang w:val="en-GB"/>
        </w:rPr>
        <w:t xml:space="preserve">it is </w:t>
      </w:r>
      <w:r>
        <w:rPr>
          <w:rFonts w:ascii="Arial Narrow" w:hAnsi="Arial Narrow" w:cs="Times New Roman"/>
          <w:sz w:val="24"/>
          <w:szCs w:val="24"/>
          <w:lang w:val="en-GB"/>
        </w:rPr>
        <w:t xml:space="preserve">crucial to help primary and secondary students </w:t>
      </w:r>
      <w:r w:rsidRPr="00CB3713">
        <w:rPr>
          <w:rFonts w:ascii="Arial Narrow" w:hAnsi="Arial Narrow" w:cs="Times New Roman"/>
          <w:sz w:val="24"/>
          <w:szCs w:val="24"/>
          <w:lang w:val="en-GB"/>
        </w:rPr>
        <w:t>develop the resources to prepare them for their career</w:t>
      </w:r>
      <w:r>
        <w:rPr>
          <w:rFonts w:ascii="Arial Narrow" w:hAnsi="Arial Narrow" w:cs="Times New Roman"/>
          <w:sz w:val="24"/>
          <w:szCs w:val="24"/>
          <w:lang w:val="en-GB"/>
        </w:rPr>
        <w:t xml:space="preserve"> </w:t>
      </w:r>
      <w:r w:rsidRPr="00CB3713">
        <w:rPr>
          <w:rFonts w:ascii="Arial Narrow" w:hAnsi="Arial Narrow" w:cs="Times New Roman"/>
          <w:sz w:val="24"/>
          <w:szCs w:val="24"/>
          <w:lang w:val="en-GB"/>
        </w:rPr>
        <w:t>future and to cope with any difficult times that they may</w:t>
      </w:r>
      <w:r>
        <w:rPr>
          <w:rFonts w:ascii="Arial Narrow" w:hAnsi="Arial Narrow" w:cs="Times New Roman"/>
          <w:sz w:val="24"/>
          <w:szCs w:val="24"/>
          <w:lang w:val="en-GB"/>
        </w:rPr>
        <w:t xml:space="preserve"> </w:t>
      </w:r>
      <w:r w:rsidRPr="00CB3713">
        <w:rPr>
          <w:rFonts w:ascii="Arial Narrow" w:hAnsi="Arial Narrow" w:cs="Times New Roman"/>
          <w:sz w:val="24"/>
          <w:szCs w:val="24"/>
          <w:lang w:val="en-GB"/>
        </w:rPr>
        <w:t>be going through.</w:t>
      </w:r>
      <w:r>
        <w:rPr>
          <w:rFonts w:ascii="Arial Narrow" w:hAnsi="Arial Narrow" w:cs="Times New Roman"/>
          <w:sz w:val="24"/>
          <w:szCs w:val="24"/>
          <w:lang w:val="en-GB"/>
        </w:rPr>
        <w:t xml:space="preserve"> </w:t>
      </w:r>
      <w:r w:rsidRPr="00CB3713">
        <w:rPr>
          <w:rFonts w:ascii="Arial Narrow" w:hAnsi="Arial Narrow" w:cs="Times New Roman"/>
          <w:sz w:val="24"/>
          <w:szCs w:val="24"/>
          <w:lang w:val="en-GB"/>
        </w:rPr>
        <w:t xml:space="preserve">In addition to basic and advanced technical skills, children and youth must be equipped with the social emotional and resiliency skills, resources and attitudes necessary </w:t>
      </w:r>
      <w:proofErr w:type="gramStart"/>
      <w:r w:rsidRPr="00CB3713">
        <w:rPr>
          <w:rFonts w:ascii="Arial Narrow" w:hAnsi="Arial Narrow" w:cs="Times New Roman"/>
          <w:sz w:val="24"/>
          <w:szCs w:val="24"/>
          <w:lang w:val="en-GB"/>
        </w:rPr>
        <w:t>to successfully cope</w:t>
      </w:r>
      <w:proofErr w:type="gramEnd"/>
      <w:r w:rsidRPr="00CB3713">
        <w:rPr>
          <w:rFonts w:ascii="Arial Narrow" w:hAnsi="Arial Narrow" w:cs="Times New Roman"/>
          <w:sz w:val="24"/>
          <w:szCs w:val="24"/>
          <w:lang w:val="en-GB"/>
        </w:rPr>
        <w:t xml:space="preserve"> with the ever-changing, techno</w:t>
      </w:r>
      <w:r w:rsidR="00CE3205">
        <w:rPr>
          <w:rFonts w:ascii="Arial Narrow" w:hAnsi="Arial Narrow" w:cs="Times New Roman"/>
          <w:sz w:val="24"/>
          <w:szCs w:val="24"/>
          <w:lang w:val="en-GB"/>
        </w:rPr>
        <w:t>logy-rich job market (</w:t>
      </w:r>
      <w:proofErr w:type="spellStart"/>
      <w:r w:rsidR="00CE3205">
        <w:rPr>
          <w:rFonts w:ascii="Arial Narrow" w:hAnsi="Arial Narrow" w:cs="Times New Roman"/>
          <w:sz w:val="24"/>
          <w:szCs w:val="24"/>
          <w:lang w:val="en-GB"/>
        </w:rPr>
        <w:t>Hartung</w:t>
      </w:r>
      <w:proofErr w:type="spellEnd"/>
      <w:r w:rsidR="00CE3205">
        <w:rPr>
          <w:rFonts w:ascii="Arial Narrow" w:hAnsi="Arial Narrow" w:cs="Times New Roman"/>
          <w:sz w:val="24"/>
          <w:szCs w:val="24"/>
          <w:lang w:val="en-GB"/>
        </w:rPr>
        <w:t>, 2015</w:t>
      </w:r>
      <w:r w:rsidRPr="00CB3713">
        <w:rPr>
          <w:rFonts w:ascii="Arial Narrow" w:hAnsi="Arial Narrow" w:cs="Times New Roman"/>
          <w:sz w:val="24"/>
          <w:szCs w:val="24"/>
          <w:lang w:val="en-GB"/>
        </w:rPr>
        <w:t>).</w:t>
      </w:r>
      <w:r w:rsidR="00CE3205">
        <w:rPr>
          <w:rFonts w:ascii="Arial Narrow" w:hAnsi="Arial Narrow" w:cs="Times New Roman"/>
          <w:sz w:val="24"/>
          <w:szCs w:val="24"/>
          <w:lang w:val="en-GB"/>
        </w:rPr>
        <w:t xml:space="preserve"> According to the most recent and accredited theoretical framework in career literature (e.g. Life Design paradigm, </w:t>
      </w:r>
      <w:proofErr w:type="spellStart"/>
      <w:r w:rsidR="00CE3205">
        <w:rPr>
          <w:rFonts w:ascii="Arial Narrow" w:hAnsi="Arial Narrow" w:cs="Times New Roman"/>
          <w:sz w:val="24"/>
          <w:szCs w:val="24"/>
          <w:lang w:val="en-GB"/>
        </w:rPr>
        <w:t>Savickas</w:t>
      </w:r>
      <w:proofErr w:type="spellEnd"/>
      <w:r w:rsidR="00CE3205">
        <w:rPr>
          <w:rFonts w:ascii="Arial Narrow" w:hAnsi="Arial Narrow" w:cs="Times New Roman"/>
          <w:sz w:val="24"/>
          <w:szCs w:val="24"/>
          <w:lang w:val="en-GB"/>
        </w:rPr>
        <w:t xml:space="preserve"> et al., 2009;  Social Cognitive Theory, </w:t>
      </w:r>
      <w:r w:rsidR="00CE3205" w:rsidRPr="00CE3205">
        <w:rPr>
          <w:rFonts w:ascii="Arial Narrow" w:hAnsi="Arial Narrow" w:cs="Times New Roman"/>
          <w:sz w:val="24"/>
          <w:szCs w:val="24"/>
          <w:lang w:val="en-GB"/>
        </w:rPr>
        <w:t xml:space="preserve">Lent, Hackett, </w:t>
      </w:r>
      <w:r w:rsidR="00CE3205">
        <w:rPr>
          <w:rFonts w:ascii="Arial Narrow" w:hAnsi="Arial Narrow" w:cs="Times New Roman"/>
          <w:sz w:val="24"/>
          <w:szCs w:val="24"/>
          <w:lang w:val="en-GB"/>
        </w:rPr>
        <w:t>&amp;</w:t>
      </w:r>
      <w:r w:rsidR="00CE3205" w:rsidRPr="00CE3205">
        <w:rPr>
          <w:rFonts w:ascii="Arial Narrow" w:hAnsi="Arial Narrow" w:cs="Times New Roman"/>
          <w:sz w:val="24"/>
          <w:szCs w:val="24"/>
          <w:lang w:val="en-GB"/>
        </w:rPr>
        <w:t xml:space="preserve"> Brown</w:t>
      </w:r>
      <w:r w:rsidR="00CE3205">
        <w:rPr>
          <w:rFonts w:ascii="Arial Narrow" w:hAnsi="Arial Narrow" w:cs="Times New Roman"/>
          <w:sz w:val="24"/>
          <w:szCs w:val="24"/>
          <w:lang w:val="en-GB"/>
        </w:rPr>
        <w:t xml:space="preserve">, 1996; Lent &amp; Brown, 2019), it </w:t>
      </w:r>
      <w:r w:rsidR="004E4A97">
        <w:rPr>
          <w:rFonts w:ascii="Arial Narrow" w:hAnsi="Arial Narrow" w:cs="Times New Roman"/>
          <w:sz w:val="24"/>
          <w:szCs w:val="24"/>
          <w:lang w:val="en-GB"/>
        </w:rPr>
        <w:t xml:space="preserve">was </w:t>
      </w:r>
      <w:r w:rsidR="00CE3205">
        <w:rPr>
          <w:rFonts w:ascii="Arial Narrow" w:hAnsi="Arial Narrow" w:cs="Times New Roman"/>
          <w:sz w:val="24"/>
          <w:szCs w:val="24"/>
          <w:lang w:val="en-GB"/>
        </w:rPr>
        <w:t>emphasized the</w:t>
      </w:r>
      <w:r w:rsidR="00CE3205" w:rsidRPr="00CE3205">
        <w:rPr>
          <w:rFonts w:ascii="Arial Narrow" w:hAnsi="Arial Narrow" w:cs="Times New Roman"/>
          <w:sz w:val="24"/>
          <w:szCs w:val="24"/>
          <w:lang w:val="en-GB"/>
        </w:rPr>
        <w:t xml:space="preserve"> need to</w:t>
      </w:r>
      <w:r w:rsidR="00CE3205">
        <w:rPr>
          <w:rFonts w:ascii="Arial Narrow" w:hAnsi="Arial Narrow" w:cs="Times New Roman"/>
          <w:sz w:val="24"/>
          <w:szCs w:val="24"/>
          <w:lang w:val="en-GB"/>
        </w:rPr>
        <w:t xml:space="preserve"> </w:t>
      </w:r>
      <w:r w:rsidR="00CE3205" w:rsidRPr="00CE3205">
        <w:rPr>
          <w:rFonts w:ascii="Arial Narrow" w:hAnsi="Arial Narrow" w:cs="Times New Roman"/>
          <w:sz w:val="24"/>
          <w:szCs w:val="24"/>
          <w:lang w:val="en-GB"/>
        </w:rPr>
        <w:t>adopt a lifespan and preventive perspective and considers</w:t>
      </w:r>
      <w:r w:rsidR="00CE3205">
        <w:rPr>
          <w:rFonts w:ascii="Arial Narrow" w:hAnsi="Arial Narrow" w:cs="Times New Roman"/>
          <w:sz w:val="24"/>
          <w:szCs w:val="24"/>
          <w:lang w:val="en-GB"/>
        </w:rPr>
        <w:t xml:space="preserve"> </w:t>
      </w:r>
      <w:r w:rsidR="00CE3205" w:rsidRPr="00CE3205">
        <w:rPr>
          <w:rFonts w:ascii="Arial Narrow" w:hAnsi="Arial Narrow" w:cs="Times New Roman"/>
          <w:sz w:val="24"/>
          <w:szCs w:val="24"/>
          <w:lang w:val="en-GB"/>
        </w:rPr>
        <w:t xml:space="preserve">childhood </w:t>
      </w:r>
      <w:r w:rsidR="00E671A1">
        <w:rPr>
          <w:rFonts w:ascii="Arial Narrow" w:hAnsi="Arial Narrow" w:cs="Times New Roman"/>
          <w:sz w:val="24"/>
          <w:szCs w:val="24"/>
          <w:lang w:val="en-GB"/>
        </w:rPr>
        <w:t xml:space="preserve">and </w:t>
      </w:r>
      <w:proofErr w:type="spellStart"/>
      <w:r w:rsidR="00E671A1">
        <w:rPr>
          <w:rFonts w:ascii="Arial Narrow" w:hAnsi="Arial Narrow" w:cs="Times New Roman"/>
          <w:sz w:val="24"/>
          <w:szCs w:val="24"/>
          <w:lang w:val="en-GB"/>
        </w:rPr>
        <w:t>youthhood</w:t>
      </w:r>
      <w:proofErr w:type="spellEnd"/>
      <w:r w:rsidR="00E671A1">
        <w:rPr>
          <w:rFonts w:ascii="Arial Narrow" w:hAnsi="Arial Narrow" w:cs="Times New Roman"/>
          <w:sz w:val="24"/>
          <w:szCs w:val="24"/>
          <w:lang w:val="en-GB"/>
        </w:rPr>
        <w:t xml:space="preserve"> </w:t>
      </w:r>
      <w:r w:rsidR="00CE3205" w:rsidRPr="00CE3205">
        <w:rPr>
          <w:rFonts w:ascii="Arial Narrow" w:hAnsi="Arial Narrow" w:cs="Times New Roman"/>
          <w:sz w:val="24"/>
          <w:szCs w:val="24"/>
          <w:lang w:val="en-GB"/>
        </w:rPr>
        <w:t xml:space="preserve">as a crucial formative period in the </w:t>
      </w:r>
      <w:r w:rsidR="00CE3205">
        <w:rPr>
          <w:rFonts w:ascii="Arial Narrow" w:hAnsi="Arial Narrow" w:cs="Times New Roman"/>
          <w:sz w:val="24"/>
          <w:szCs w:val="24"/>
          <w:lang w:val="en-GB"/>
        </w:rPr>
        <w:t xml:space="preserve">process of career development. </w:t>
      </w:r>
      <w:r w:rsidR="00CE3205" w:rsidRPr="00CE3205">
        <w:rPr>
          <w:rFonts w:ascii="Arial Narrow" w:hAnsi="Arial Narrow" w:cs="Times New Roman"/>
          <w:sz w:val="24"/>
          <w:szCs w:val="24"/>
          <w:lang w:val="en-GB"/>
        </w:rPr>
        <w:t>Although it is not urgent for children</w:t>
      </w:r>
      <w:r w:rsidR="00CE3205">
        <w:rPr>
          <w:rFonts w:ascii="Arial Narrow" w:hAnsi="Arial Narrow" w:cs="Times New Roman"/>
          <w:sz w:val="24"/>
          <w:szCs w:val="24"/>
          <w:lang w:val="en-GB"/>
        </w:rPr>
        <w:t xml:space="preserve"> and youth </w:t>
      </w:r>
      <w:r w:rsidR="00CE3205" w:rsidRPr="00CE3205">
        <w:rPr>
          <w:rFonts w:ascii="Arial Narrow" w:hAnsi="Arial Narrow" w:cs="Times New Roman"/>
          <w:sz w:val="24"/>
          <w:szCs w:val="24"/>
          <w:lang w:val="en-GB"/>
        </w:rPr>
        <w:t>to make imminent career decisions, it is important to start</w:t>
      </w:r>
      <w:r w:rsidR="00CE3205">
        <w:rPr>
          <w:rFonts w:ascii="Arial Narrow" w:hAnsi="Arial Narrow" w:cs="Times New Roman"/>
          <w:sz w:val="24"/>
          <w:szCs w:val="24"/>
          <w:lang w:val="en-GB"/>
        </w:rPr>
        <w:t xml:space="preserve"> </w:t>
      </w:r>
      <w:r w:rsidR="00CE3205" w:rsidRPr="00CE3205">
        <w:rPr>
          <w:rFonts w:ascii="Arial Narrow" w:hAnsi="Arial Narrow" w:cs="Times New Roman"/>
          <w:sz w:val="24"/>
          <w:szCs w:val="24"/>
          <w:lang w:val="en-GB"/>
        </w:rPr>
        <w:t>promoting positive career development trajectories during</w:t>
      </w:r>
      <w:r w:rsidR="00E671A1">
        <w:rPr>
          <w:rFonts w:ascii="Arial Narrow" w:hAnsi="Arial Narrow" w:cs="Times New Roman"/>
          <w:sz w:val="24"/>
          <w:szCs w:val="24"/>
          <w:lang w:val="en-GB"/>
        </w:rPr>
        <w:t xml:space="preserve"> </w:t>
      </w:r>
      <w:r w:rsidR="004E4A97">
        <w:rPr>
          <w:rFonts w:ascii="Arial Narrow" w:hAnsi="Arial Narrow" w:cs="Times New Roman"/>
          <w:sz w:val="24"/>
          <w:szCs w:val="24"/>
          <w:lang w:val="en-GB"/>
        </w:rPr>
        <w:t xml:space="preserve">this developmental age </w:t>
      </w:r>
      <w:r w:rsidR="00CE3205" w:rsidRPr="00CE3205">
        <w:rPr>
          <w:rFonts w:ascii="Arial Narrow" w:hAnsi="Arial Narrow" w:cs="Times New Roman"/>
          <w:sz w:val="24"/>
          <w:szCs w:val="24"/>
          <w:lang w:val="en-US"/>
        </w:rPr>
        <w:t>(</w:t>
      </w:r>
      <w:r w:rsidR="00CE3205">
        <w:rPr>
          <w:rFonts w:ascii="Arial Narrow" w:hAnsi="Arial Narrow" w:cs="Times New Roman"/>
          <w:sz w:val="24"/>
          <w:szCs w:val="24"/>
          <w:lang w:val="en-US"/>
        </w:rPr>
        <w:t>Ginevra &amp; Nota, 2017</w:t>
      </w:r>
      <w:r w:rsidR="00CE3205" w:rsidRPr="00CE3205">
        <w:rPr>
          <w:rFonts w:ascii="Arial Narrow" w:hAnsi="Arial Narrow" w:cs="Times New Roman"/>
          <w:sz w:val="24"/>
          <w:szCs w:val="24"/>
          <w:lang w:val="en-US"/>
        </w:rPr>
        <w:t xml:space="preserve">; </w:t>
      </w:r>
      <w:proofErr w:type="spellStart"/>
      <w:r w:rsidR="00CE3205" w:rsidRPr="00CE3205">
        <w:rPr>
          <w:rFonts w:ascii="Arial Narrow" w:hAnsi="Arial Narrow" w:cs="Times New Roman"/>
          <w:sz w:val="24"/>
          <w:szCs w:val="24"/>
          <w:lang w:val="en-US"/>
        </w:rPr>
        <w:t>Savickas</w:t>
      </w:r>
      <w:proofErr w:type="spellEnd"/>
      <w:r w:rsidR="00CE3205" w:rsidRPr="00CE3205">
        <w:rPr>
          <w:rFonts w:ascii="Arial Narrow" w:hAnsi="Arial Narrow" w:cs="Times New Roman"/>
          <w:sz w:val="24"/>
          <w:szCs w:val="24"/>
          <w:lang w:val="en-US"/>
        </w:rPr>
        <w:t xml:space="preserve"> et al., 2009).</w:t>
      </w:r>
      <w:r w:rsidR="00CE3205">
        <w:rPr>
          <w:rFonts w:ascii="Arial Narrow" w:hAnsi="Arial Narrow" w:cs="Times New Roman"/>
          <w:sz w:val="24"/>
          <w:szCs w:val="24"/>
          <w:lang w:val="en-US"/>
        </w:rPr>
        <w:t xml:space="preserve"> </w:t>
      </w:r>
    </w:p>
    <w:p w:rsidR="00CB3713" w:rsidRDefault="00CE3205" w:rsidP="00CB3713">
      <w:pPr>
        <w:spacing w:after="120"/>
        <w:jc w:val="both"/>
        <w:rPr>
          <w:rFonts w:ascii="Arial Narrow" w:hAnsi="Arial Narrow" w:cs="Times New Roman"/>
          <w:sz w:val="24"/>
          <w:szCs w:val="24"/>
          <w:lang w:val="en-GB"/>
        </w:rPr>
      </w:pPr>
      <w:proofErr w:type="gramStart"/>
      <w:r w:rsidRPr="00CB3713">
        <w:rPr>
          <w:rFonts w:ascii="Arial Narrow" w:hAnsi="Arial Narrow" w:cs="Times New Roman"/>
          <w:sz w:val="24"/>
          <w:szCs w:val="24"/>
          <w:lang w:val="en-GB"/>
        </w:rPr>
        <w:t>All this seems even more crucial for children and youth with disabilities</w:t>
      </w:r>
      <w:r>
        <w:rPr>
          <w:rFonts w:ascii="Arial Narrow" w:hAnsi="Arial Narrow" w:cs="Times New Roman"/>
          <w:sz w:val="24"/>
          <w:szCs w:val="24"/>
          <w:lang w:val="en-GB"/>
        </w:rPr>
        <w:t xml:space="preserve"> </w:t>
      </w:r>
      <w:r>
        <w:rPr>
          <w:rFonts w:ascii="Arial Narrow" w:hAnsi="Arial Narrow" w:cs="Times New Roman"/>
          <w:sz w:val="24"/>
          <w:szCs w:val="24"/>
          <w:lang w:val="en-US"/>
        </w:rPr>
        <w:t>and vulnerabilities (e.g. migrants, with low socio-economic status)</w:t>
      </w:r>
      <w:r w:rsidRPr="00CB3713">
        <w:rPr>
          <w:rFonts w:ascii="Arial Narrow" w:hAnsi="Arial Narrow" w:cs="Times New Roman"/>
          <w:sz w:val="24"/>
          <w:szCs w:val="24"/>
          <w:lang w:val="en-GB"/>
        </w:rPr>
        <w:t xml:space="preserve">, who are more at risk </w:t>
      </w:r>
      <w:r w:rsidR="004E4A97">
        <w:rPr>
          <w:rFonts w:ascii="Arial Narrow" w:hAnsi="Arial Narrow" w:cs="Times New Roman"/>
          <w:sz w:val="24"/>
          <w:szCs w:val="24"/>
          <w:lang w:val="en-GB"/>
        </w:rPr>
        <w:t xml:space="preserve">in </w:t>
      </w:r>
      <w:r w:rsidRPr="00CB3713">
        <w:rPr>
          <w:rFonts w:ascii="Arial Narrow" w:hAnsi="Arial Narrow" w:cs="Times New Roman"/>
          <w:sz w:val="24"/>
          <w:szCs w:val="24"/>
          <w:lang w:val="en-GB"/>
        </w:rPr>
        <w:t>the current job market, especially because they often exhibit inadequate and irrational occupational beliefs regarding the world of work, lower soft skills, great difficulty in setting future goals, little information regarding occupational options</w:t>
      </w:r>
      <w:r w:rsidR="004E4A97">
        <w:rPr>
          <w:rFonts w:ascii="Arial Narrow" w:hAnsi="Arial Narrow" w:cs="Times New Roman"/>
          <w:sz w:val="24"/>
          <w:szCs w:val="24"/>
          <w:lang w:val="en-GB"/>
        </w:rPr>
        <w:t>, greater barriers and difficulties in the educational and school system</w:t>
      </w:r>
      <w:r w:rsidRPr="00CB3713">
        <w:rPr>
          <w:rFonts w:ascii="Arial Narrow" w:hAnsi="Arial Narrow" w:cs="Times New Roman"/>
          <w:sz w:val="24"/>
          <w:szCs w:val="24"/>
          <w:lang w:val="en-GB"/>
        </w:rPr>
        <w:t xml:space="preserve"> (Hitchings et al., 2001; Lee, </w:t>
      </w:r>
      <w:proofErr w:type="spellStart"/>
      <w:r w:rsidRPr="00CB3713">
        <w:rPr>
          <w:rFonts w:ascii="Arial Narrow" w:hAnsi="Arial Narrow" w:cs="Times New Roman"/>
          <w:sz w:val="24"/>
          <w:szCs w:val="24"/>
          <w:lang w:val="en-GB"/>
        </w:rPr>
        <w:t>Rojewski</w:t>
      </w:r>
      <w:proofErr w:type="spellEnd"/>
      <w:r w:rsidRPr="00CB3713">
        <w:rPr>
          <w:rFonts w:ascii="Arial Narrow" w:hAnsi="Arial Narrow" w:cs="Times New Roman"/>
          <w:sz w:val="24"/>
          <w:szCs w:val="24"/>
          <w:lang w:val="en-GB"/>
        </w:rPr>
        <w:t xml:space="preserve">, Gregg, &amp; </w:t>
      </w:r>
      <w:proofErr w:type="spellStart"/>
      <w:r w:rsidRPr="00CB3713">
        <w:rPr>
          <w:rFonts w:ascii="Arial Narrow" w:hAnsi="Arial Narrow" w:cs="Times New Roman"/>
          <w:sz w:val="24"/>
          <w:szCs w:val="24"/>
          <w:lang w:val="en-GB"/>
        </w:rPr>
        <w:t>Jeong</w:t>
      </w:r>
      <w:proofErr w:type="spellEnd"/>
      <w:r w:rsidRPr="00CB3713">
        <w:rPr>
          <w:rFonts w:ascii="Arial Narrow" w:hAnsi="Arial Narrow" w:cs="Times New Roman"/>
          <w:sz w:val="24"/>
          <w:szCs w:val="24"/>
          <w:lang w:val="en-GB"/>
        </w:rPr>
        <w:t xml:space="preserve">, 2015; Müller &amp; </w:t>
      </w:r>
      <w:proofErr w:type="spellStart"/>
      <w:r w:rsidRPr="00CB3713">
        <w:rPr>
          <w:rFonts w:ascii="Arial Narrow" w:hAnsi="Arial Narrow" w:cs="Times New Roman"/>
          <w:sz w:val="24"/>
          <w:szCs w:val="24"/>
          <w:lang w:val="en-GB"/>
        </w:rPr>
        <w:t>VanGilder</w:t>
      </w:r>
      <w:proofErr w:type="spellEnd"/>
      <w:r w:rsidRPr="00CB3713">
        <w:rPr>
          <w:rFonts w:ascii="Arial Narrow" w:hAnsi="Arial Narrow" w:cs="Times New Roman"/>
          <w:sz w:val="24"/>
          <w:szCs w:val="24"/>
          <w:lang w:val="en-GB"/>
        </w:rPr>
        <w:t>, 2014).</w:t>
      </w:r>
      <w:proofErr w:type="gramEnd"/>
    </w:p>
    <w:p w:rsidR="002E1F71" w:rsidRDefault="002E1F71" w:rsidP="00CB3713">
      <w:pPr>
        <w:spacing w:after="120"/>
        <w:jc w:val="both"/>
        <w:rPr>
          <w:rFonts w:ascii="Arial Narrow" w:hAnsi="Arial Narrow" w:cs="Times New Roman"/>
          <w:sz w:val="24"/>
          <w:szCs w:val="24"/>
          <w:lang w:val="en-GB"/>
        </w:rPr>
      </w:pPr>
      <w:r>
        <w:rPr>
          <w:rFonts w:ascii="Arial Narrow" w:hAnsi="Arial Narrow" w:cs="Times New Roman"/>
          <w:sz w:val="24"/>
          <w:szCs w:val="24"/>
          <w:lang w:val="en-US"/>
        </w:rPr>
        <w:t>I</w:t>
      </w:r>
      <w:r w:rsidRPr="002E1F71">
        <w:rPr>
          <w:rFonts w:ascii="Arial Narrow" w:hAnsi="Arial Narrow" w:cs="Times New Roman"/>
          <w:sz w:val="24"/>
          <w:szCs w:val="24"/>
          <w:lang w:val="en-US"/>
        </w:rPr>
        <w:t xml:space="preserve">n </w:t>
      </w:r>
      <w:r>
        <w:rPr>
          <w:rFonts w:ascii="Arial Narrow" w:hAnsi="Arial Narrow" w:cs="Times New Roman"/>
          <w:sz w:val="24"/>
          <w:szCs w:val="24"/>
          <w:lang w:val="en-US"/>
        </w:rPr>
        <w:t xml:space="preserve">relation </w:t>
      </w:r>
      <w:r w:rsidR="00897537">
        <w:rPr>
          <w:rFonts w:ascii="Arial Narrow" w:hAnsi="Arial Narrow" w:cs="Times New Roman"/>
          <w:sz w:val="24"/>
          <w:szCs w:val="24"/>
          <w:lang w:val="en-US"/>
        </w:rPr>
        <w:t>to th</w:t>
      </w:r>
      <w:r w:rsidR="00E671A1">
        <w:rPr>
          <w:rFonts w:ascii="Arial Narrow" w:hAnsi="Arial Narrow" w:cs="Times New Roman"/>
          <w:sz w:val="24"/>
          <w:szCs w:val="24"/>
          <w:lang w:val="en-US"/>
        </w:rPr>
        <w:t>ese</w:t>
      </w:r>
      <w:r w:rsidR="00897537">
        <w:rPr>
          <w:rFonts w:ascii="Arial Narrow" w:hAnsi="Arial Narrow" w:cs="Times New Roman"/>
          <w:sz w:val="24"/>
          <w:szCs w:val="24"/>
          <w:lang w:val="en-US"/>
        </w:rPr>
        <w:t xml:space="preserve"> </w:t>
      </w:r>
      <w:r w:rsidR="00E671A1">
        <w:rPr>
          <w:rFonts w:ascii="Arial Narrow" w:hAnsi="Arial Narrow" w:cs="Times New Roman"/>
          <w:sz w:val="24"/>
          <w:szCs w:val="24"/>
          <w:lang w:val="en-US"/>
        </w:rPr>
        <w:t>premises</w:t>
      </w:r>
      <w:r w:rsidR="00897537">
        <w:rPr>
          <w:rFonts w:ascii="Arial Narrow" w:hAnsi="Arial Narrow" w:cs="Times New Roman"/>
          <w:sz w:val="24"/>
          <w:szCs w:val="24"/>
          <w:lang w:val="en-US"/>
        </w:rPr>
        <w:t xml:space="preserve">, </w:t>
      </w:r>
      <w:proofErr w:type="spellStart"/>
      <w:r w:rsidR="00897537">
        <w:rPr>
          <w:rFonts w:ascii="Arial Narrow" w:hAnsi="Arial Narrow" w:cs="Times New Roman"/>
          <w:sz w:val="24"/>
          <w:szCs w:val="24"/>
          <w:lang w:val="en-US"/>
        </w:rPr>
        <w:t>Arqus</w:t>
      </w:r>
      <w:proofErr w:type="spellEnd"/>
      <w:r w:rsidR="00897537">
        <w:rPr>
          <w:rFonts w:ascii="Arial Narrow" w:hAnsi="Arial Narrow" w:cs="Times New Roman"/>
          <w:sz w:val="24"/>
          <w:szCs w:val="24"/>
          <w:lang w:val="en-US"/>
        </w:rPr>
        <w:t xml:space="preserve"> part</w:t>
      </w:r>
      <w:r>
        <w:rPr>
          <w:rFonts w:ascii="Arial Narrow" w:hAnsi="Arial Narrow" w:cs="Times New Roman"/>
          <w:sz w:val="24"/>
          <w:szCs w:val="24"/>
          <w:lang w:val="en-US"/>
        </w:rPr>
        <w:t xml:space="preserve">ners </w:t>
      </w:r>
      <w:r w:rsidR="002D1D34">
        <w:rPr>
          <w:rFonts w:ascii="Arial Narrow" w:hAnsi="Arial Narrow" w:cs="Times New Roman"/>
          <w:sz w:val="24"/>
          <w:szCs w:val="24"/>
          <w:lang w:val="en-US"/>
        </w:rPr>
        <w:t xml:space="preserve">agreed </w:t>
      </w:r>
      <w:r>
        <w:rPr>
          <w:rFonts w:ascii="Arial Narrow" w:hAnsi="Arial Narrow" w:cs="Times New Roman"/>
          <w:sz w:val="24"/>
          <w:szCs w:val="24"/>
          <w:lang w:val="en-US"/>
        </w:rPr>
        <w:t xml:space="preserve">that </w:t>
      </w:r>
      <w:r w:rsidR="00CB3713" w:rsidRPr="00CB3713">
        <w:rPr>
          <w:rFonts w:ascii="Arial Narrow" w:hAnsi="Arial Narrow" w:cs="Times New Roman"/>
          <w:sz w:val="24"/>
          <w:szCs w:val="24"/>
          <w:lang w:val="en-GB"/>
        </w:rPr>
        <w:t>career guidance professionals serve an important social role in ‘preparing’ children and youth for the</w:t>
      </w:r>
      <w:r w:rsidR="00CB3713">
        <w:rPr>
          <w:rFonts w:ascii="Arial Narrow" w:hAnsi="Arial Narrow" w:cs="Times New Roman"/>
          <w:sz w:val="24"/>
          <w:szCs w:val="24"/>
          <w:lang w:val="en-GB"/>
        </w:rPr>
        <w:t xml:space="preserve"> current and future world of work. </w:t>
      </w:r>
      <w:r w:rsidR="00DB4B43">
        <w:rPr>
          <w:rFonts w:ascii="Arial Narrow" w:hAnsi="Arial Narrow" w:cs="Times New Roman"/>
          <w:sz w:val="24"/>
          <w:szCs w:val="24"/>
          <w:lang w:val="en-GB"/>
        </w:rPr>
        <w:t xml:space="preserve">Therefore, the training of </w:t>
      </w:r>
      <w:r w:rsidR="00DB4B43" w:rsidRPr="00CB3713">
        <w:rPr>
          <w:rFonts w:ascii="Arial Narrow" w:hAnsi="Arial Narrow" w:cs="Times New Roman"/>
          <w:sz w:val="24"/>
          <w:szCs w:val="24"/>
          <w:lang w:val="en-GB"/>
        </w:rPr>
        <w:lastRenderedPageBreak/>
        <w:t>career guidance professionals</w:t>
      </w:r>
      <w:r w:rsidR="00DB4B43">
        <w:rPr>
          <w:rFonts w:ascii="Arial Narrow" w:hAnsi="Arial Narrow" w:cs="Times New Roman"/>
          <w:sz w:val="24"/>
          <w:szCs w:val="24"/>
          <w:lang w:val="en-GB"/>
        </w:rPr>
        <w:t xml:space="preserve"> is an important issue, </w:t>
      </w:r>
      <w:r w:rsidR="00DB4B43" w:rsidRPr="00DB4B43">
        <w:rPr>
          <w:rFonts w:ascii="Arial Narrow" w:hAnsi="Arial Narrow" w:cs="Times New Roman"/>
          <w:sz w:val="24"/>
          <w:szCs w:val="24"/>
          <w:lang w:val="en-GB"/>
        </w:rPr>
        <w:t>in order to make their professional actions more effective.</w:t>
      </w:r>
      <w:r w:rsidR="00DB4B43">
        <w:rPr>
          <w:rFonts w:ascii="Arial Narrow" w:hAnsi="Arial Narrow" w:cs="Times New Roman"/>
          <w:sz w:val="24"/>
          <w:szCs w:val="24"/>
          <w:lang w:val="en-GB"/>
        </w:rPr>
        <w:t xml:space="preserve"> </w:t>
      </w:r>
      <w:proofErr w:type="gramStart"/>
      <w:r w:rsidR="00DB4B43">
        <w:rPr>
          <w:rFonts w:ascii="Arial Narrow" w:hAnsi="Arial Narrow" w:cs="Times New Roman"/>
          <w:sz w:val="24"/>
          <w:szCs w:val="24"/>
          <w:lang w:val="en-GB"/>
        </w:rPr>
        <w:t>Although</w:t>
      </w:r>
      <w:r w:rsidR="00DB4B43" w:rsidRPr="00DB4B43">
        <w:rPr>
          <w:rFonts w:ascii="Arial Narrow" w:hAnsi="Arial Narrow" w:cs="Times New Roman"/>
          <w:sz w:val="24"/>
          <w:szCs w:val="24"/>
          <w:lang w:val="en-GB"/>
        </w:rPr>
        <w:t xml:space="preserve"> there are no shared indications in the various countries on the training of </w:t>
      </w:r>
      <w:r w:rsidR="00DB4B43" w:rsidRPr="00CB3713">
        <w:rPr>
          <w:rFonts w:ascii="Arial Narrow" w:hAnsi="Arial Narrow" w:cs="Times New Roman"/>
          <w:sz w:val="24"/>
          <w:szCs w:val="24"/>
          <w:lang w:val="en-GB"/>
        </w:rPr>
        <w:t>career guidance professionals</w:t>
      </w:r>
      <w:r w:rsidR="00DB4B43" w:rsidRPr="00DB4B43">
        <w:rPr>
          <w:rFonts w:ascii="Arial Narrow" w:hAnsi="Arial Narrow" w:cs="Times New Roman"/>
          <w:sz w:val="24"/>
          <w:szCs w:val="24"/>
          <w:lang w:val="en-GB"/>
        </w:rPr>
        <w:t>,</w:t>
      </w:r>
      <w:r w:rsidR="00DB4B43">
        <w:rPr>
          <w:rFonts w:ascii="Arial Narrow" w:hAnsi="Arial Narrow" w:cs="Times New Roman"/>
          <w:sz w:val="24"/>
          <w:szCs w:val="24"/>
          <w:lang w:val="en-GB"/>
        </w:rPr>
        <w:t xml:space="preserve"> according to </w:t>
      </w:r>
      <w:r w:rsidR="00DB4B43" w:rsidRPr="00897537">
        <w:rPr>
          <w:rFonts w:ascii="Arial Narrow" w:hAnsi="Arial Narrow" w:cs="Times New Roman"/>
          <w:sz w:val="24"/>
          <w:szCs w:val="24"/>
          <w:lang w:val="en-GB"/>
        </w:rPr>
        <w:t xml:space="preserve">the International Association for Educational </w:t>
      </w:r>
      <w:r w:rsidR="00DB4B43">
        <w:rPr>
          <w:rFonts w:ascii="Arial Narrow" w:hAnsi="Arial Narrow" w:cs="Times New Roman"/>
          <w:sz w:val="24"/>
          <w:szCs w:val="24"/>
          <w:lang w:val="en-GB"/>
        </w:rPr>
        <w:t>and Vocational Guidance (IAEVG), t</w:t>
      </w:r>
      <w:r w:rsidR="00DB4B43" w:rsidRPr="00897537">
        <w:rPr>
          <w:rFonts w:ascii="Arial Narrow" w:hAnsi="Arial Narrow" w:cs="Times New Roman"/>
          <w:sz w:val="24"/>
          <w:szCs w:val="24"/>
          <w:lang w:val="en-GB"/>
        </w:rPr>
        <w:t xml:space="preserve">he European Society for Vocational Designing and Career </w:t>
      </w:r>
      <w:proofErr w:type="spellStart"/>
      <w:r w:rsidR="00DB4B43" w:rsidRPr="00897537">
        <w:rPr>
          <w:rFonts w:ascii="Arial Narrow" w:hAnsi="Arial Narrow" w:cs="Times New Roman"/>
          <w:sz w:val="24"/>
          <w:szCs w:val="24"/>
          <w:lang w:val="en-GB"/>
        </w:rPr>
        <w:t>Counseling</w:t>
      </w:r>
      <w:proofErr w:type="spellEnd"/>
      <w:r w:rsidR="00DB4B43" w:rsidRPr="00897537">
        <w:rPr>
          <w:rFonts w:ascii="Arial Narrow" w:hAnsi="Arial Narrow" w:cs="Times New Roman"/>
          <w:sz w:val="24"/>
          <w:szCs w:val="24"/>
          <w:lang w:val="en-GB"/>
        </w:rPr>
        <w:t xml:space="preserve"> (ESVDC</w:t>
      </w:r>
      <w:r w:rsidR="00A15699">
        <w:rPr>
          <w:rFonts w:ascii="Arial Narrow" w:hAnsi="Arial Narrow" w:cs="Times New Roman"/>
          <w:sz w:val="24"/>
          <w:szCs w:val="24"/>
          <w:lang w:val="en-GB"/>
        </w:rPr>
        <w:t xml:space="preserve">, </w:t>
      </w:r>
      <w:hyperlink r:id="rId10" w:history="1">
        <w:r w:rsidR="00A15699" w:rsidRPr="00A15699">
          <w:rPr>
            <w:rStyle w:val="Collegamentoipertestuale"/>
            <w:rFonts w:ascii="Arial Narrow" w:hAnsi="Arial Narrow" w:cs="Times New Roman"/>
            <w:sz w:val="24"/>
            <w:szCs w:val="24"/>
            <w:lang w:val="en-US"/>
          </w:rPr>
          <w:t>http://www.esvdc.org/</w:t>
        </w:r>
      </w:hyperlink>
      <w:r w:rsidR="00DB4B43" w:rsidRPr="00897537">
        <w:rPr>
          <w:rFonts w:ascii="Arial Narrow" w:hAnsi="Arial Narrow" w:cs="Times New Roman"/>
          <w:sz w:val="24"/>
          <w:szCs w:val="24"/>
          <w:lang w:val="en-GB"/>
        </w:rPr>
        <w:t xml:space="preserve">), the guidelines recently published by the Network for Innovation in Career Guidance &amp; Counselling </w:t>
      </w:r>
      <w:r w:rsidR="00DB4B43">
        <w:rPr>
          <w:rFonts w:ascii="Arial Narrow" w:hAnsi="Arial Narrow" w:cs="Times New Roman"/>
          <w:sz w:val="24"/>
          <w:szCs w:val="24"/>
          <w:lang w:val="en-GB"/>
        </w:rPr>
        <w:t>(NICE, 2012, 2015</w:t>
      </w:r>
      <w:r w:rsidR="00A15699">
        <w:rPr>
          <w:rFonts w:ascii="Arial Narrow" w:hAnsi="Arial Narrow" w:cs="Times New Roman"/>
          <w:sz w:val="24"/>
          <w:szCs w:val="24"/>
          <w:lang w:val="en-GB"/>
        </w:rPr>
        <w:t xml:space="preserve">, </w:t>
      </w:r>
      <w:hyperlink r:id="rId11" w:history="1">
        <w:r w:rsidR="00A15699" w:rsidRPr="00A15699">
          <w:rPr>
            <w:rStyle w:val="Collegamentoipertestuale"/>
            <w:rFonts w:ascii="Arial Narrow" w:hAnsi="Arial Narrow" w:cs="Times New Roman"/>
            <w:sz w:val="24"/>
            <w:szCs w:val="24"/>
            <w:lang w:val="en-US"/>
          </w:rPr>
          <w:t>http://www.nice-network.eu/</w:t>
        </w:r>
      </w:hyperlink>
      <w:r w:rsidR="00DB4B43">
        <w:rPr>
          <w:rFonts w:ascii="Arial Narrow" w:hAnsi="Arial Narrow" w:cs="Times New Roman"/>
          <w:sz w:val="24"/>
          <w:szCs w:val="24"/>
          <w:lang w:val="en-GB"/>
        </w:rPr>
        <w:t>),</w:t>
      </w:r>
      <w:r w:rsidR="00086094">
        <w:rPr>
          <w:rFonts w:ascii="Arial Narrow" w:hAnsi="Arial Narrow" w:cs="Times New Roman"/>
          <w:sz w:val="24"/>
          <w:szCs w:val="24"/>
          <w:lang w:val="en-GB"/>
        </w:rPr>
        <w:t xml:space="preserve"> and the European Doctoral Programme in Career Guidance and Counselling (ECADOC, </w:t>
      </w:r>
      <w:hyperlink r:id="rId12" w:history="1">
        <w:r w:rsidR="00086094" w:rsidRPr="00086094">
          <w:rPr>
            <w:rStyle w:val="Collegamentoipertestuale"/>
            <w:rFonts w:ascii="Arial Narrow" w:hAnsi="Arial Narrow" w:cs="Times New Roman"/>
            <w:sz w:val="24"/>
            <w:szCs w:val="24"/>
            <w:lang w:val="en-US"/>
          </w:rPr>
          <w:t>http://www.larios.fisppa.unipd.it/ecadoc/</w:t>
        </w:r>
      </w:hyperlink>
      <w:r w:rsidR="00086094">
        <w:rPr>
          <w:rFonts w:ascii="Arial Narrow" w:hAnsi="Arial Narrow" w:cs="Times New Roman"/>
          <w:sz w:val="24"/>
          <w:szCs w:val="24"/>
          <w:lang w:val="en-GB"/>
        </w:rPr>
        <w:t>)</w:t>
      </w:r>
      <w:r w:rsidR="00DB4B43">
        <w:rPr>
          <w:rFonts w:ascii="Arial Narrow" w:hAnsi="Arial Narrow" w:cs="Times New Roman"/>
          <w:sz w:val="24"/>
          <w:szCs w:val="24"/>
          <w:lang w:val="en-GB"/>
        </w:rPr>
        <w:t xml:space="preserve"> </w:t>
      </w:r>
      <w:proofErr w:type="spellStart"/>
      <w:r w:rsidR="00DB4B43">
        <w:rPr>
          <w:rFonts w:ascii="Arial Narrow" w:hAnsi="Arial Narrow" w:cs="Times New Roman"/>
          <w:sz w:val="24"/>
          <w:szCs w:val="24"/>
          <w:lang w:val="en-GB"/>
        </w:rPr>
        <w:t>Arqus</w:t>
      </w:r>
      <w:proofErr w:type="spellEnd"/>
      <w:r w:rsidR="00DB4B43">
        <w:rPr>
          <w:rFonts w:ascii="Arial Narrow" w:hAnsi="Arial Narrow" w:cs="Times New Roman"/>
          <w:sz w:val="24"/>
          <w:szCs w:val="24"/>
          <w:lang w:val="en-GB"/>
        </w:rPr>
        <w:t xml:space="preserve"> partners </w:t>
      </w:r>
      <w:r w:rsidR="00E671A1">
        <w:rPr>
          <w:rFonts w:ascii="Arial Narrow" w:hAnsi="Arial Narrow" w:cs="Times New Roman"/>
          <w:sz w:val="24"/>
          <w:szCs w:val="24"/>
          <w:lang w:val="en-GB"/>
        </w:rPr>
        <w:t>discussed</w:t>
      </w:r>
      <w:r w:rsidR="00DB4B43">
        <w:rPr>
          <w:rFonts w:ascii="Arial Narrow" w:hAnsi="Arial Narrow" w:cs="Times New Roman"/>
          <w:sz w:val="24"/>
          <w:szCs w:val="24"/>
          <w:lang w:val="en-GB"/>
        </w:rPr>
        <w:t xml:space="preserve"> that, </w:t>
      </w:r>
      <w:r w:rsidR="00DB4B43" w:rsidRPr="00DB4B43">
        <w:rPr>
          <w:rFonts w:ascii="Arial Narrow" w:hAnsi="Arial Narrow" w:cs="Times New Roman"/>
          <w:sz w:val="24"/>
          <w:szCs w:val="24"/>
          <w:lang w:val="en-GB"/>
        </w:rPr>
        <w:t>through the attendance of high-quality post-university training courses</w:t>
      </w:r>
      <w:r w:rsidR="00DB4B43">
        <w:rPr>
          <w:rFonts w:ascii="Arial Narrow" w:hAnsi="Arial Narrow" w:cs="Times New Roman"/>
          <w:sz w:val="24"/>
          <w:szCs w:val="24"/>
          <w:lang w:val="en-GB"/>
        </w:rPr>
        <w:t xml:space="preserve">, </w:t>
      </w:r>
      <w:r w:rsidR="00DB4B43" w:rsidRPr="00CB3713">
        <w:rPr>
          <w:rFonts w:ascii="Arial Narrow" w:hAnsi="Arial Narrow" w:cs="Times New Roman"/>
          <w:sz w:val="24"/>
          <w:szCs w:val="24"/>
          <w:lang w:val="en-GB"/>
        </w:rPr>
        <w:t>career guidance professionals</w:t>
      </w:r>
      <w:r w:rsidR="00DB4B43">
        <w:rPr>
          <w:rFonts w:ascii="Arial Narrow" w:hAnsi="Arial Narrow" w:cs="Times New Roman"/>
          <w:sz w:val="24"/>
          <w:szCs w:val="24"/>
          <w:lang w:val="en-GB"/>
        </w:rPr>
        <w:t xml:space="preserve"> should </w:t>
      </w:r>
      <w:r w:rsidR="00DB4B43" w:rsidRPr="00897537">
        <w:rPr>
          <w:rFonts w:ascii="Arial Narrow" w:hAnsi="Arial Narrow" w:cs="Times New Roman"/>
          <w:sz w:val="24"/>
          <w:szCs w:val="24"/>
          <w:lang w:val="en-GB"/>
        </w:rPr>
        <w:t xml:space="preserve">acquire knowledge and highly qualified skills, a scientifically based and up-to-date conceptual background, attitudes and values in order to better prepare future generations </w:t>
      </w:r>
      <w:r w:rsidR="00DB4B43">
        <w:rPr>
          <w:rFonts w:ascii="Arial Narrow" w:hAnsi="Arial Narrow" w:cs="Times New Roman"/>
          <w:sz w:val="24"/>
          <w:szCs w:val="24"/>
          <w:lang w:val="en-GB"/>
        </w:rPr>
        <w:t xml:space="preserve">to cope with </w:t>
      </w:r>
      <w:r w:rsidR="00DB4B43" w:rsidRPr="00897537">
        <w:rPr>
          <w:rFonts w:ascii="Arial Narrow" w:hAnsi="Arial Narrow" w:cs="Times New Roman"/>
          <w:sz w:val="24"/>
          <w:szCs w:val="24"/>
          <w:lang w:val="en-GB"/>
        </w:rPr>
        <w:t>the complexity</w:t>
      </w:r>
      <w:r w:rsidR="00DB4B43">
        <w:rPr>
          <w:rFonts w:ascii="Arial Narrow" w:hAnsi="Arial Narrow" w:cs="Times New Roman"/>
          <w:sz w:val="24"/>
          <w:szCs w:val="24"/>
          <w:lang w:val="en-GB"/>
        </w:rPr>
        <w:t>, uncertainty, and global challenges that characterize the labour market.</w:t>
      </w:r>
      <w:proofErr w:type="gramEnd"/>
      <w:r w:rsidR="00DB4B43">
        <w:rPr>
          <w:rFonts w:ascii="Arial Narrow" w:hAnsi="Arial Narrow" w:cs="Times New Roman"/>
          <w:sz w:val="24"/>
          <w:szCs w:val="24"/>
          <w:lang w:val="en-GB"/>
        </w:rPr>
        <w:t xml:space="preserve"> </w:t>
      </w:r>
      <w:r w:rsidR="00DB4B43" w:rsidRPr="00DB4B43">
        <w:rPr>
          <w:rFonts w:ascii="Arial Narrow" w:hAnsi="Arial Narrow" w:cs="Times New Roman"/>
          <w:sz w:val="24"/>
          <w:szCs w:val="24"/>
          <w:lang w:val="en-GB"/>
        </w:rPr>
        <w:t xml:space="preserve">It </w:t>
      </w:r>
      <w:proofErr w:type="gramStart"/>
      <w:r w:rsidR="00DB4B43">
        <w:rPr>
          <w:rFonts w:ascii="Arial Narrow" w:hAnsi="Arial Narrow" w:cs="Times New Roman"/>
          <w:sz w:val="24"/>
          <w:szCs w:val="24"/>
          <w:lang w:val="en-GB"/>
        </w:rPr>
        <w:t>was</w:t>
      </w:r>
      <w:r w:rsidR="00DB4B43" w:rsidRPr="00DB4B43">
        <w:rPr>
          <w:rFonts w:ascii="Arial Narrow" w:hAnsi="Arial Narrow" w:cs="Times New Roman"/>
          <w:sz w:val="24"/>
          <w:szCs w:val="24"/>
          <w:lang w:val="en-GB"/>
        </w:rPr>
        <w:t xml:space="preserve"> also specified</w:t>
      </w:r>
      <w:proofErr w:type="gramEnd"/>
      <w:r w:rsidR="00DB4B43" w:rsidRPr="00DB4B43">
        <w:rPr>
          <w:rFonts w:ascii="Arial Narrow" w:hAnsi="Arial Narrow" w:cs="Times New Roman"/>
          <w:sz w:val="24"/>
          <w:szCs w:val="24"/>
          <w:lang w:val="en-GB"/>
        </w:rPr>
        <w:t xml:space="preserve"> that the training program</w:t>
      </w:r>
      <w:r w:rsidR="00DB4B43">
        <w:rPr>
          <w:rFonts w:ascii="Arial Narrow" w:hAnsi="Arial Narrow" w:cs="Times New Roman"/>
          <w:sz w:val="24"/>
          <w:szCs w:val="24"/>
          <w:lang w:val="en-GB"/>
        </w:rPr>
        <w:t>m</w:t>
      </w:r>
      <w:r w:rsidR="00DB4B43" w:rsidRPr="00DB4B43">
        <w:rPr>
          <w:rFonts w:ascii="Arial Narrow" w:hAnsi="Arial Narrow" w:cs="Times New Roman"/>
          <w:sz w:val="24"/>
          <w:szCs w:val="24"/>
          <w:lang w:val="en-GB"/>
        </w:rPr>
        <w:t>es in Career Guidance and Counselling, in line with relevant United Nations declarations, should reflect current societal challenges and labour market needs and promote the inclusion of all citizens and their full participation in society, education and employment.</w:t>
      </w:r>
    </w:p>
    <w:p w:rsidR="00A84918" w:rsidRDefault="003D04F2" w:rsidP="00CB3713">
      <w:pPr>
        <w:spacing w:after="120"/>
        <w:jc w:val="both"/>
        <w:rPr>
          <w:rFonts w:ascii="Arial Narrow" w:hAnsi="Arial Narrow" w:cs="Times New Roman"/>
          <w:sz w:val="24"/>
          <w:szCs w:val="24"/>
          <w:lang w:val="en-GB"/>
        </w:rPr>
      </w:pPr>
      <w:r>
        <w:rPr>
          <w:rFonts w:ascii="Arial Narrow" w:hAnsi="Arial Narrow" w:cs="Times New Roman"/>
          <w:sz w:val="24"/>
          <w:szCs w:val="24"/>
          <w:lang w:val="en-GB"/>
        </w:rPr>
        <w:t xml:space="preserve">Finally, </w:t>
      </w:r>
      <w:r w:rsidR="005E2116">
        <w:rPr>
          <w:rFonts w:ascii="Arial Narrow" w:hAnsi="Arial Narrow" w:cs="Times New Roman"/>
          <w:sz w:val="24"/>
          <w:szCs w:val="24"/>
          <w:lang w:val="en-GB"/>
        </w:rPr>
        <w:t xml:space="preserve">pilot experiences, </w:t>
      </w:r>
      <w:r w:rsidR="00F57E7E">
        <w:rPr>
          <w:rFonts w:ascii="Arial Narrow" w:hAnsi="Arial Narrow" w:cs="Times New Roman"/>
          <w:sz w:val="24"/>
          <w:szCs w:val="24"/>
          <w:lang w:val="en-GB"/>
        </w:rPr>
        <w:t xml:space="preserve">good practices and career education interventions </w:t>
      </w:r>
      <w:r w:rsidR="00803931">
        <w:rPr>
          <w:rFonts w:ascii="Arial Narrow" w:hAnsi="Arial Narrow" w:cs="Times New Roman"/>
          <w:sz w:val="24"/>
          <w:szCs w:val="24"/>
          <w:lang w:val="en-GB"/>
        </w:rPr>
        <w:t xml:space="preserve">realized in each university </w:t>
      </w:r>
      <w:proofErr w:type="gramStart"/>
      <w:r w:rsidR="00F57E7E">
        <w:rPr>
          <w:rFonts w:ascii="Arial Narrow" w:hAnsi="Arial Narrow" w:cs="Times New Roman"/>
          <w:sz w:val="24"/>
          <w:szCs w:val="24"/>
          <w:lang w:val="en-GB"/>
        </w:rPr>
        <w:t>were discussed and shared</w:t>
      </w:r>
      <w:proofErr w:type="gramEnd"/>
      <w:r w:rsidR="00F57E7E">
        <w:rPr>
          <w:rFonts w:ascii="Arial Narrow" w:hAnsi="Arial Narrow" w:cs="Times New Roman"/>
          <w:sz w:val="24"/>
          <w:szCs w:val="24"/>
          <w:lang w:val="en-GB"/>
        </w:rPr>
        <w:t xml:space="preserve">. </w:t>
      </w:r>
      <w:r w:rsidR="00A3056E">
        <w:rPr>
          <w:rFonts w:ascii="Arial Narrow" w:hAnsi="Arial Narrow" w:cs="Times New Roman"/>
          <w:sz w:val="24"/>
          <w:szCs w:val="24"/>
          <w:lang w:val="en-GB"/>
        </w:rPr>
        <w:t>Specifically, example of</w:t>
      </w:r>
      <w:r w:rsidR="00B03BF8">
        <w:rPr>
          <w:rFonts w:ascii="Arial Narrow" w:hAnsi="Arial Narrow" w:cs="Times New Roman"/>
          <w:sz w:val="24"/>
          <w:szCs w:val="24"/>
          <w:lang w:val="en-GB"/>
        </w:rPr>
        <w:t xml:space="preserve"> </w:t>
      </w:r>
      <w:r w:rsidR="00B03BF8" w:rsidRPr="00B03BF8">
        <w:rPr>
          <w:rFonts w:ascii="Arial Narrow" w:hAnsi="Arial Narrow" w:cs="Times New Roman"/>
          <w:sz w:val="24"/>
          <w:szCs w:val="24"/>
          <w:lang w:val="en-GB"/>
        </w:rPr>
        <w:t xml:space="preserve">career counselling, </w:t>
      </w:r>
      <w:r w:rsidR="00B03BF8">
        <w:rPr>
          <w:rFonts w:ascii="Arial Narrow" w:hAnsi="Arial Narrow" w:cs="Times New Roman"/>
          <w:sz w:val="24"/>
          <w:szCs w:val="24"/>
          <w:lang w:val="en-GB"/>
        </w:rPr>
        <w:t xml:space="preserve">university </w:t>
      </w:r>
      <w:r w:rsidR="00B03BF8" w:rsidRPr="00B03BF8">
        <w:rPr>
          <w:rFonts w:ascii="Arial Narrow" w:hAnsi="Arial Narrow" w:cs="Times New Roman"/>
          <w:sz w:val="24"/>
          <w:szCs w:val="24"/>
          <w:lang w:val="en-GB"/>
        </w:rPr>
        <w:t xml:space="preserve">services for </w:t>
      </w:r>
      <w:r w:rsidR="00B03BF8">
        <w:rPr>
          <w:rFonts w:ascii="Arial Narrow" w:hAnsi="Arial Narrow" w:cs="Times New Roman"/>
          <w:sz w:val="24"/>
          <w:szCs w:val="24"/>
          <w:lang w:val="en-GB"/>
        </w:rPr>
        <w:t>career guidance</w:t>
      </w:r>
      <w:r w:rsidR="00B03BF8" w:rsidRPr="00B03BF8">
        <w:rPr>
          <w:rFonts w:ascii="Arial Narrow" w:hAnsi="Arial Narrow" w:cs="Times New Roman"/>
          <w:sz w:val="24"/>
          <w:szCs w:val="24"/>
          <w:lang w:val="en-GB"/>
        </w:rPr>
        <w:t xml:space="preserve">, </w:t>
      </w:r>
      <w:proofErr w:type="gramStart"/>
      <w:r w:rsidR="00B03BF8">
        <w:rPr>
          <w:rFonts w:ascii="Arial Narrow" w:hAnsi="Arial Narrow" w:cs="Times New Roman"/>
          <w:sz w:val="24"/>
          <w:szCs w:val="24"/>
          <w:lang w:val="en-GB"/>
        </w:rPr>
        <w:t xml:space="preserve">peer </w:t>
      </w:r>
      <w:r w:rsidR="00B03BF8" w:rsidRPr="00B03BF8">
        <w:rPr>
          <w:rFonts w:ascii="Arial Narrow" w:hAnsi="Arial Narrow" w:cs="Times New Roman"/>
          <w:sz w:val="24"/>
          <w:szCs w:val="24"/>
          <w:lang w:val="en-GB"/>
        </w:rPr>
        <w:t>tutoring</w:t>
      </w:r>
      <w:proofErr w:type="gramEnd"/>
      <w:r w:rsidR="00B03BF8" w:rsidRPr="00B03BF8">
        <w:rPr>
          <w:rFonts w:ascii="Arial Narrow" w:hAnsi="Arial Narrow" w:cs="Times New Roman"/>
          <w:sz w:val="24"/>
          <w:szCs w:val="24"/>
          <w:lang w:val="en-GB"/>
        </w:rPr>
        <w:t xml:space="preserve"> </w:t>
      </w:r>
      <w:r w:rsidR="00B03BF8">
        <w:rPr>
          <w:rFonts w:ascii="Arial Narrow" w:hAnsi="Arial Narrow" w:cs="Times New Roman"/>
          <w:sz w:val="24"/>
          <w:szCs w:val="24"/>
          <w:lang w:val="en-GB"/>
        </w:rPr>
        <w:t xml:space="preserve">activities, especially </w:t>
      </w:r>
      <w:r w:rsidR="00A3056E">
        <w:rPr>
          <w:rFonts w:ascii="Arial Narrow" w:hAnsi="Arial Narrow" w:cs="Times New Roman"/>
          <w:sz w:val="24"/>
          <w:szCs w:val="24"/>
          <w:lang w:val="en-GB"/>
        </w:rPr>
        <w:t>for students with disabilities were disc</w:t>
      </w:r>
      <w:bookmarkStart w:id="0" w:name="_GoBack"/>
      <w:bookmarkEnd w:id="0"/>
      <w:r w:rsidR="00A3056E">
        <w:rPr>
          <w:rFonts w:ascii="Arial Narrow" w:hAnsi="Arial Narrow" w:cs="Times New Roman"/>
          <w:sz w:val="24"/>
          <w:szCs w:val="24"/>
          <w:lang w:val="en-GB"/>
        </w:rPr>
        <w:t xml:space="preserve">ussed. Moreover, </w:t>
      </w:r>
      <w:r w:rsidR="00A84918">
        <w:rPr>
          <w:rFonts w:ascii="Arial Narrow" w:hAnsi="Arial Narrow" w:cs="Times New Roman"/>
          <w:sz w:val="24"/>
          <w:szCs w:val="24"/>
          <w:lang w:val="en-GB"/>
        </w:rPr>
        <w:t>f</w:t>
      </w:r>
      <w:r w:rsidR="00A84918" w:rsidRPr="00A84918">
        <w:rPr>
          <w:rFonts w:ascii="Arial Narrow" w:hAnsi="Arial Narrow" w:cs="Times New Roman"/>
          <w:sz w:val="24"/>
          <w:szCs w:val="24"/>
          <w:lang w:val="en-GB"/>
        </w:rPr>
        <w:t>rom a primary preventive perspective</w:t>
      </w:r>
      <w:r w:rsidR="00A84918">
        <w:rPr>
          <w:rFonts w:ascii="Arial Narrow" w:hAnsi="Arial Narrow" w:cs="Times New Roman"/>
          <w:sz w:val="24"/>
          <w:szCs w:val="24"/>
          <w:lang w:val="en-GB"/>
        </w:rPr>
        <w:t>,</w:t>
      </w:r>
      <w:r w:rsidR="00A84918" w:rsidRPr="00A84918">
        <w:rPr>
          <w:rFonts w:ascii="Arial Narrow" w:hAnsi="Arial Narrow" w:cs="Times New Roman"/>
          <w:sz w:val="24"/>
          <w:szCs w:val="24"/>
          <w:lang w:val="en-GB"/>
        </w:rPr>
        <w:t xml:space="preserve"> </w:t>
      </w:r>
      <w:r w:rsidR="00A84918">
        <w:rPr>
          <w:rFonts w:ascii="Arial Narrow" w:hAnsi="Arial Narrow" w:cs="Times New Roman"/>
          <w:sz w:val="24"/>
          <w:szCs w:val="24"/>
          <w:lang w:val="en-GB"/>
        </w:rPr>
        <w:t xml:space="preserve">laboratories and career education interventions for </w:t>
      </w:r>
      <w:r w:rsidR="00A84918" w:rsidRPr="00A84918">
        <w:rPr>
          <w:rFonts w:ascii="Arial Narrow" w:hAnsi="Arial Narrow" w:cs="Times New Roman"/>
          <w:sz w:val="24"/>
          <w:szCs w:val="24"/>
          <w:lang w:val="en-GB"/>
        </w:rPr>
        <w:t xml:space="preserve">children </w:t>
      </w:r>
      <w:r w:rsidR="00A84918">
        <w:rPr>
          <w:rFonts w:ascii="Arial Narrow" w:hAnsi="Arial Narrow" w:cs="Times New Roman"/>
          <w:sz w:val="24"/>
          <w:szCs w:val="24"/>
          <w:lang w:val="en-GB"/>
        </w:rPr>
        <w:t>and youth</w:t>
      </w:r>
      <w:r w:rsidR="00803931">
        <w:rPr>
          <w:rFonts w:ascii="Arial Narrow" w:hAnsi="Arial Narrow" w:cs="Times New Roman"/>
          <w:sz w:val="24"/>
          <w:szCs w:val="24"/>
          <w:lang w:val="en-GB"/>
        </w:rPr>
        <w:t xml:space="preserve"> developed by Larios Laboratory </w:t>
      </w:r>
      <w:proofErr w:type="gramStart"/>
      <w:r w:rsidR="00803931">
        <w:rPr>
          <w:rFonts w:ascii="Arial Narrow" w:hAnsi="Arial Narrow" w:cs="Times New Roman"/>
          <w:sz w:val="24"/>
          <w:szCs w:val="24"/>
          <w:lang w:val="en-GB"/>
        </w:rPr>
        <w:t>were presented</w:t>
      </w:r>
      <w:proofErr w:type="gramEnd"/>
      <w:r w:rsidR="00803931">
        <w:rPr>
          <w:rFonts w:ascii="Arial Narrow" w:hAnsi="Arial Narrow" w:cs="Times New Roman"/>
          <w:sz w:val="24"/>
          <w:szCs w:val="24"/>
          <w:lang w:val="en-GB"/>
        </w:rPr>
        <w:t>.</w:t>
      </w:r>
      <w:r w:rsidR="00B03BF8">
        <w:rPr>
          <w:rFonts w:ascii="Arial Narrow" w:hAnsi="Arial Narrow" w:cs="Times New Roman"/>
          <w:sz w:val="24"/>
          <w:szCs w:val="24"/>
          <w:lang w:val="en-GB"/>
        </w:rPr>
        <w:t xml:space="preserve"> </w:t>
      </w:r>
    </w:p>
    <w:p w:rsidR="00E671A1" w:rsidRDefault="00E671A1" w:rsidP="00E671A1">
      <w:pPr>
        <w:spacing w:after="120"/>
        <w:jc w:val="both"/>
        <w:rPr>
          <w:rFonts w:ascii="Arial Narrow" w:hAnsi="Arial Narrow" w:cs="Times New Roman"/>
          <w:sz w:val="24"/>
          <w:szCs w:val="24"/>
          <w:lang w:val="en-GB"/>
        </w:rPr>
      </w:pPr>
      <w:r>
        <w:rPr>
          <w:rFonts w:ascii="Arial Narrow" w:hAnsi="Arial Narrow" w:cs="Times New Roman"/>
          <w:sz w:val="24"/>
          <w:szCs w:val="24"/>
          <w:lang w:val="en-GB"/>
        </w:rPr>
        <w:t xml:space="preserve">The Training event ended with the shared goal to develop </w:t>
      </w:r>
      <w:r w:rsidRPr="004022A7">
        <w:rPr>
          <w:rFonts w:ascii="Arial Narrow" w:eastAsia="Calibri" w:hAnsi="Arial Narrow"/>
          <w:sz w:val="24"/>
          <w:szCs w:val="24"/>
          <w:lang w:val="en-GB"/>
        </w:rPr>
        <w:t>models of</w:t>
      </w:r>
      <w:r>
        <w:rPr>
          <w:rFonts w:ascii="Arial Narrow" w:eastAsia="Calibri" w:hAnsi="Arial Narrow"/>
          <w:sz w:val="24"/>
          <w:szCs w:val="24"/>
          <w:lang w:val="en-GB"/>
        </w:rPr>
        <w:t>,</w:t>
      </w:r>
      <w:r w:rsidRPr="004022A7">
        <w:rPr>
          <w:rFonts w:ascii="Arial Narrow" w:eastAsia="Calibri" w:hAnsi="Arial Narrow"/>
          <w:sz w:val="24"/>
          <w:szCs w:val="24"/>
          <w:lang w:val="en-GB"/>
        </w:rPr>
        <w:t xml:space="preserve"> and resources for</w:t>
      </w:r>
      <w:r>
        <w:rPr>
          <w:rFonts w:ascii="Arial Narrow" w:eastAsia="Calibri" w:hAnsi="Arial Narrow"/>
          <w:sz w:val="24"/>
          <w:szCs w:val="24"/>
          <w:lang w:val="en-GB"/>
        </w:rPr>
        <w:t>,</w:t>
      </w:r>
      <w:r w:rsidRPr="004022A7">
        <w:rPr>
          <w:rFonts w:ascii="Arial Narrow" w:eastAsia="Calibri" w:hAnsi="Arial Narrow"/>
          <w:sz w:val="24"/>
          <w:szCs w:val="24"/>
          <w:lang w:val="en-GB"/>
        </w:rPr>
        <w:t xml:space="preserve"> preventive early career education activities to </w:t>
      </w:r>
      <w:proofErr w:type="gramStart"/>
      <w:r w:rsidRPr="004022A7">
        <w:rPr>
          <w:rFonts w:ascii="Arial Narrow" w:eastAsia="Calibri" w:hAnsi="Arial Narrow"/>
          <w:sz w:val="24"/>
          <w:szCs w:val="24"/>
          <w:lang w:val="en-GB"/>
        </w:rPr>
        <w:t>be implemented</w:t>
      </w:r>
      <w:proofErr w:type="gramEnd"/>
      <w:r w:rsidRPr="004022A7">
        <w:rPr>
          <w:rFonts w:ascii="Arial Narrow" w:eastAsia="Calibri" w:hAnsi="Arial Narrow"/>
          <w:sz w:val="24"/>
          <w:szCs w:val="24"/>
          <w:lang w:val="en-GB"/>
        </w:rPr>
        <w:t xml:space="preserve"> locally by each university.</w:t>
      </w:r>
      <w:r>
        <w:rPr>
          <w:rFonts w:ascii="Arial Narrow" w:eastAsia="Calibri" w:hAnsi="Arial Narrow"/>
          <w:sz w:val="24"/>
          <w:szCs w:val="24"/>
          <w:lang w:val="en-GB"/>
        </w:rPr>
        <w:t xml:space="preserve"> Moreover, shared guidelines </w:t>
      </w:r>
      <w:r w:rsidRPr="004022A7">
        <w:rPr>
          <w:rFonts w:ascii="Arial Narrow" w:eastAsia="Calibri" w:hAnsi="Arial Narrow"/>
          <w:sz w:val="24"/>
          <w:szCs w:val="24"/>
          <w:lang w:val="en-GB"/>
        </w:rPr>
        <w:t>for university and school staff and for future primary and secondary school teachers and counsellors</w:t>
      </w:r>
      <w:r>
        <w:rPr>
          <w:rFonts w:ascii="Arial Narrow" w:eastAsia="Calibri" w:hAnsi="Arial Narrow"/>
          <w:sz w:val="24"/>
          <w:szCs w:val="24"/>
          <w:lang w:val="en-GB"/>
        </w:rPr>
        <w:t xml:space="preserve"> interested to career guidance </w:t>
      </w:r>
      <w:proofErr w:type="gramStart"/>
      <w:r>
        <w:rPr>
          <w:rFonts w:ascii="Arial Narrow" w:eastAsia="Calibri" w:hAnsi="Arial Narrow"/>
          <w:sz w:val="24"/>
          <w:szCs w:val="24"/>
          <w:lang w:val="en-GB"/>
        </w:rPr>
        <w:t>will be developed</w:t>
      </w:r>
      <w:proofErr w:type="gramEnd"/>
      <w:r>
        <w:rPr>
          <w:rFonts w:ascii="Arial Narrow" w:eastAsia="Calibri" w:hAnsi="Arial Narrow"/>
          <w:sz w:val="24"/>
          <w:szCs w:val="24"/>
          <w:lang w:val="en-GB"/>
        </w:rPr>
        <w:t xml:space="preserve">. </w:t>
      </w:r>
    </w:p>
    <w:p w:rsidR="00E671A1" w:rsidRDefault="00E671A1" w:rsidP="00CB3713">
      <w:pPr>
        <w:spacing w:after="120"/>
        <w:jc w:val="both"/>
        <w:rPr>
          <w:rFonts w:ascii="Arial Narrow" w:hAnsi="Arial Narrow" w:cs="Times New Roman"/>
          <w:sz w:val="24"/>
          <w:szCs w:val="24"/>
          <w:lang w:val="en-GB"/>
        </w:rPr>
      </w:pPr>
    </w:p>
    <w:sectPr w:rsidR="00E671A1" w:rsidSect="00042CDD">
      <w:headerReference w:type="default" r:id="rId13"/>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222" w:rsidRDefault="007B3222" w:rsidP="00042CDD">
      <w:pPr>
        <w:spacing w:after="0" w:line="240" w:lineRule="auto"/>
      </w:pPr>
      <w:r>
        <w:separator/>
      </w:r>
    </w:p>
  </w:endnote>
  <w:endnote w:type="continuationSeparator" w:id="0">
    <w:p w:rsidR="007B3222" w:rsidRDefault="007B3222" w:rsidP="0004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222" w:rsidRDefault="007B3222" w:rsidP="00042CDD">
      <w:pPr>
        <w:spacing w:after="0" w:line="240" w:lineRule="auto"/>
      </w:pPr>
      <w:r>
        <w:separator/>
      </w:r>
    </w:p>
  </w:footnote>
  <w:footnote w:type="continuationSeparator" w:id="0">
    <w:p w:rsidR="007B3222" w:rsidRDefault="007B3222" w:rsidP="00042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CDD" w:rsidRDefault="00042CDD" w:rsidP="00042CDD">
    <w:pPr>
      <w:pStyle w:val="Intestazione"/>
      <w:pBdr>
        <w:bottom w:val="single" w:sz="36" w:space="1" w:color="BF8F00" w:themeColor="accent4" w:themeShade="BF"/>
      </w:pBdr>
      <w:jc w:val="center"/>
    </w:pPr>
    <w:r w:rsidRPr="00792FFA">
      <w:rPr>
        <w:rFonts w:ascii="Candara" w:hAnsi="Candara"/>
        <w:b/>
        <w:noProof/>
        <w:sz w:val="24"/>
        <w:szCs w:val="24"/>
        <w:lang w:eastAsia="it-IT"/>
      </w:rPr>
      <w:drawing>
        <wp:inline distT="0" distB="0" distL="0" distR="0" wp14:anchorId="2AA31A9F" wp14:editId="4E4109F2">
          <wp:extent cx="1697542" cy="720000"/>
          <wp:effectExtent l="0" t="0" r="0" b="4445"/>
          <wp:docPr id="3" name="Immagine 3" descr="C:\Users\cristin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na\Desktop\downlo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542" cy="720000"/>
                  </a:xfrm>
                  <a:prstGeom prst="rect">
                    <a:avLst/>
                  </a:prstGeom>
                  <a:noFill/>
                  <a:ln>
                    <a:noFill/>
                  </a:ln>
                </pic:spPr>
              </pic:pic>
            </a:graphicData>
          </a:graphic>
        </wp:inline>
      </w:drawing>
    </w:r>
    <w:r>
      <w:rPr>
        <w:rFonts w:ascii="Candara" w:hAnsi="Candara"/>
        <w:b/>
        <w:noProof/>
        <w:sz w:val="24"/>
        <w:szCs w:val="24"/>
        <w:lang w:eastAsia="it-IT"/>
      </w:rPr>
      <w:t xml:space="preserve">                           </w:t>
    </w:r>
  </w:p>
  <w:p w:rsidR="00042CDD" w:rsidRDefault="00042CDD" w:rsidP="00042CDD">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660B3"/>
    <w:multiLevelType w:val="hybridMultilevel"/>
    <w:tmpl w:val="F2A2F65C"/>
    <w:lvl w:ilvl="0" w:tplc="95820676">
      <w:numFmt w:val="bullet"/>
      <w:lvlText w:val="•"/>
      <w:lvlJc w:val="left"/>
      <w:pPr>
        <w:ind w:left="720" w:hanging="360"/>
      </w:pPr>
      <w:rPr>
        <w:rFonts w:ascii="Arial Narrow" w:eastAsiaTheme="minorHAns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3731AD"/>
    <w:multiLevelType w:val="hybridMultilevel"/>
    <w:tmpl w:val="FB08F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BB10A17"/>
    <w:multiLevelType w:val="hybridMultilevel"/>
    <w:tmpl w:val="8F842190"/>
    <w:lvl w:ilvl="0" w:tplc="95820676">
      <w:numFmt w:val="bullet"/>
      <w:lvlText w:val="•"/>
      <w:lvlJc w:val="left"/>
      <w:pPr>
        <w:ind w:left="720" w:hanging="360"/>
      </w:pPr>
      <w:rPr>
        <w:rFonts w:ascii="Arial Narrow" w:eastAsiaTheme="minorHAns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2666E8"/>
    <w:multiLevelType w:val="hybridMultilevel"/>
    <w:tmpl w:val="1A08FA54"/>
    <w:lvl w:ilvl="0" w:tplc="95820676">
      <w:numFmt w:val="bullet"/>
      <w:lvlText w:val="•"/>
      <w:lvlJc w:val="left"/>
      <w:pPr>
        <w:ind w:left="720" w:hanging="360"/>
      </w:pPr>
      <w:rPr>
        <w:rFonts w:ascii="Arial Narrow" w:eastAsiaTheme="minorHAns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BD7D15"/>
    <w:multiLevelType w:val="hybridMultilevel"/>
    <w:tmpl w:val="52887D9A"/>
    <w:lvl w:ilvl="0" w:tplc="95820676">
      <w:numFmt w:val="bullet"/>
      <w:lvlText w:val="•"/>
      <w:lvlJc w:val="left"/>
      <w:pPr>
        <w:ind w:left="720" w:hanging="360"/>
      </w:pPr>
      <w:rPr>
        <w:rFonts w:ascii="Arial Narrow" w:eastAsiaTheme="minorHAns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A1B64ED"/>
    <w:multiLevelType w:val="hybridMultilevel"/>
    <w:tmpl w:val="6C348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2CA0090"/>
    <w:multiLevelType w:val="hybridMultilevel"/>
    <w:tmpl w:val="8DAC60F2"/>
    <w:lvl w:ilvl="0" w:tplc="95820676">
      <w:numFmt w:val="bullet"/>
      <w:lvlText w:val="•"/>
      <w:lvlJc w:val="left"/>
      <w:pPr>
        <w:ind w:left="720" w:hanging="360"/>
      </w:pPr>
      <w:rPr>
        <w:rFonts w:ascii="Arial Narrow" w:eastAsiaTheme="minorHAns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D741FC9"/>
    <w:multiLevelType w:val="hybridMultilevel"/>
    <w:tmpl w:val="3F8E85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C88"/>
    <w:rsid w:val="00042CDD"/>
    <w:rsid w:val="00086094"/>
    <w:rsid w:val="001656CE"/>
    <w:rsid w:val="00285875"/>
    <w:rsid w:val="002A38DC"/>
    <w:rsid w:val="002D1D34"/>
    <w:rsid w:val="002E1F71"/>
    <w:rsid w:val="003006CC"/>
    <w:rsid w:val="003472C4"/>
    <w:rsid w:val="003C0508"/>
    <w:rsid w:val="003D04F2"/>
    <w:rsid w:val="003F06DF"/>
    <w:rsid w:val="00477283"/>
    <w:rsid w:val="004E4A97"/>
    <w:rsid w:val="0050250C"/>
    <w:rsid w:val="005E2116"/>
    <w:rsid w:val="005F7069"/>
    <w:rsid w:val="00656598"/>
    <w:rsid w:val="006C27CE"/>
    <w:rsid w:val="007B3222"/>
    <w:rsid w:val="007D0DFB"/>
    <w:rsid w:val="00803931"/>
    <w:rsid w:val="00897537"/>
    <w:rsid w:val="00935C88"/>
    <w:rsid w:val="00A15699"/>
    <w:rsid w:val="00A3056E"/>
    <w:rsid w:val="00A54B3D"/>
    <w:rsid w:val="00A84918"/>
    <w:rsid w:val="00B03BF8"/>
    <w:rsid w:val="00CB3713"/>
    <w:rsid w:val="00CE3205"/>
    <w:rsid w:val="00D60FF3"/>
    <w:rsid w:val="00DB4B43"/>
    <w:rsid w:val="00E671A1"/>
    <w:rsid w:val="00F57E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4B072-13A3-41AD-94BC-08B6C612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42CD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2CDD"/>
  </w:style>
  <w:style w:type="paragraph" w:styleId="Pidipagina">
    <w:name w:val="footer"/>
    <w:basedOn w:val="Normale"/>
    <w:link w:val="PidipaginaCarattere"/>
    <w:uiPriority w:val="99"/>
    <w:unhideWhenUsed/>
    <w:rsid w:val="00042CD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2CDD"/>
  </w:style>
  <w:style w:type="paragraph" w:styleId="Paragrafoelenco">
    <w:name w:val="List Paragraph"/>
    <w:basedOn w:val="Normale"/>
    <w:uiPriority w:val="34"/>
    <w:qFormat/>
    <w:rsid w:val="00042CDD"/>
    <w:pPr>
      <w:spacing w:after="0" w:line="240" w:lineRule="auto"/>
      <w:ind w:left="720"/>
    </w:pPr>
    <w:rPr>
      <w:rFonts w:ascii="Times New Roman" w:eastAsia="Times New Roman" w:hAnsi="Times New Roman" w:cs="Times New Roman"/>
      <w:sz w:val="20"/>
      <w:lang w:val="fr-BE" w:eastAsia="fr-BE"/>
    </w:rPr>
  </w:style>
  <w:style w:type="character" w:styleId="Collegamentoipertestuale">
    <w:name w:val="Hyperlink"/>
    <w:basedOn w:val="Carpredefinitoparagrafo"/>
    <w:uiPriority w:val="99"/>
    <w:unhideWhenUsed/>
    <w:rsid w:val="000860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6121">
      <w:bodyDiv w:val="1"/>
      <w:marLeft w:val="0"/>
      <w:marRight w:val="0"/>
      <w:marTop w:val="0"/>
      <w:marBottom w:val="0"/>
      <w:divBdr>
        <w:top w:val="none" w:sz="0" w:space="0" w:color="auto"/>
        <w:left w:val="none" w:sz="0" w:space="0" w:color="auto"/>
        <w:bottom w:val="none" w:sz="0" w:space="0" w:color="auto"/>
        <w:right w:val="none" w:sz="0" w:space="0" w:color="auto"/>
      </w:divBdr>
    </w:div>
    <w:div w:id="1472597439">
      <w:bodyDiv w:val="1"/>
      <w:marLeft w:val="0"/>
      <w:marRight w:val="0"/>
      <w:marTop w:val="0"/>
      <w:marBottom w:val="0"/>
      <w:divBdr>
        <w:top w:val="none" w:sz="0" w:space="0" w:color="auto"/>
        <w:left w:val="none" w:sz="0" w:space="0" w:color="auto"/>
        <w:bottom w:val="none" w:sz="0" w:space="0" w:color="auto"/>
        <w:right w:val="none" w:sz="0" w:space="0" w:color="auto"/>
      </w:divBdr>
    </w:div>
    <w:div w:id="15548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os.fisppa.unipd.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arios.fisppa.unipd.it/eca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ce-network.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svdc.org/" TargetMode="External"/><Relationship Id="rId4" Type="http://schemas.openxmlformats.org/officeDocument/2006/relationships/webSettings" Target="webSettings.xml"/><Relationship Id="rId9" Type="http://schemas.openxmlformats.org/officeDocument/2006/relationships/hyperlink" Target="https://wp.unil.ch/unitw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1525</Words>
  <Characters>8694</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22</cp:revision>
  <dcterms:created xsi:type="dcterms:W3CDTF">2020-03-10T14:27:00Z</dcterms:created>
  <dcterms:modified xsi:type="dcterms:W3CDTF">2020-03-11T11:14:00Z</dcterms:modified>
</cp:coreProperties>
</file>